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67E64" w14:textId="118E75B4" w:rsidR="00494796" w:rsidRPr="00A33E84" w:rsidRDefault="000F2386" w:rsidP="00494796">
      <w:pPr>
        <w:pStyle w:val="Heading1-Other"/>
        <w:jc w:val="left"/>
      </w:pPr>
      <w:bookmarkStart w:id="0" w:name="_Toc59181488"/>
      <w:bookmarkStart w:id="1" w:name="_Toc71122718"/>
      <w:r w:rsidRPr="00A33E84">
        <w:t xml:space="preserve">NPR 7120.5F </w:t>
      </w:r>
      <w:r w:rsidR="00494796" w:rsidRPr="00A33E84">
        <w:t>Project Formulation Agreement Template</w:t>
      </w:r>
      <w:bookmarkEnd w:id="0"/>
      <w:bookmarkEnd w:id="1"/>
    </w:p>
    <w:p w14:paraId="3F8BAF0D" w14:textId="33AF0A1D" w:rsidR="00494796" w:rsidRPr="00A33E84" w:rsidRDefault="00494796" w:rsidP="00494796">
      <w:pPr>
        <w:pStyle w:val="Heading2-Other"/>
      </w:pPr>
      <w:bookmarkStart w:id="2" w:name="_Toc59181489"/>
      <w:bookmarkStart w:id="3" w:name="_Toc71122719"/>
      <w:r w:rsidRPr="00A33E84">
        <w:t>Formulation Agreement Template Instructions</w:t>
      </w:r>
      <w:bookmarkEnd w:id="2"/>
      <w:bookmarkEnd w:id="3"/>
    </w:p>
    <w:p w14:paraId="6CC74EB3" w14:textId="751D20B5" w:rsidR="00494796" w:rsidRPr="006C07B6" w:rsidRDefault="00494796" w:rsidP="00494796">
      <w:pPr>
        <w:pStyle w:val="BodyText"/>
      </w:pPr>
      <w:r w:rsidRPr="00A33E84">
        <w:t xml:space="preserve">The Formulation Agreement represents the project’s or single-project program’s response to the Formulation Authorization Document.  (See </w:t>
      </w:r>
      <w:r w:rsidR="00E85A01" w:rsidRPr="00A33E84">
        <w:t xml:space="preserve">NPR 7120.5F </w:t>
      </w:r>
      <w:r w:rsidRPr="00A33E84">
        <w:t xml:space="preserve">Appendix E.) It establishes technical and acquisition work that needs to be conducted during Formulation and defines the schedule and funding </w:t>
      </w:r>
      <w:r w:rsidRPr="006C07B6">
        <w:t>requirements during Phase A and Phase B for that work</w:t>
      </w:r>
      <w:r>
        <w:t xml:space="preserve">.  </w:t>
      </w:r>
      <w:r w:rsidRPr="006C07B6">
        <w:t xml:space="preserve">The Agreement focuses on the </w:t>
      </w:r>
      <w:r>
        <w:t>project or single-project program</w:t>
      </w:r>
      <w:r w:rsidRPr="006C07B6">
        <w:t xml:space="preserve"> activities necessary to accurately characterize the complexity and scope of the </w:t>
      </w:r>
      <w:r>
        <w:t>project or single-project program</w:t>
      </w:r>
      <w:r w:rsidRPr="006C07B6">
        <w:t xml:space="preserve">; increase understanding of requirements; and identify and mitigate high technical, acquisition, </w:t>
      </w:r>
      <w:r>
        <w:t xml:space="preserve">safety, </w:t>
      </w:r>
      <w:r w:rsidRPr="006C07B6">
        <w:t>cost, and schedule risks</w:t>
      </w:r>
      <w:r>
        <w:t xml:space="preserve">.  </w:t>
      </w:r>
      <w:r w:rsidRPr="00BD7594">
        <w:t>It identifies and prioritizes the Phase A and Phase B technical and acquisition work that will have the most value and enable</w:t>
      </w:r>
      <w:r>
        <w:t>s</w:t>
      </w:r>
      <w:r w:rsidRPr="00BD7594">
        <w:t xml:space="preserve"> the </w:t>
      </w:r>
      <w:r>
        <w:t>project or single-project program</w:t>
      </w:r>
      <w:r w:rsidRPr="00BD7594">
        <w:t xml:space="preserve"> to develop high</w:t>
      </w:r>
      <w:r>
        <w:t>-</w:t>
      </w:r>
      <w:r w:rsidRPr="00BD7594">
        <w:t>fidelity cost and schedule range estimates</w:t>
      </w:r>
      <w:r>
        <w:t xml:space="preserve"> or high and low values for cost and schedule with the corresponding JCL values (for projects and single-project programs with a </w:t>
      </w:r>
      <w:proofErr w:type="gramStart"/>
      <w:r>
        <w:t>life-cycle</w:t>
      </w:r>
      <w:proofErr w:type="gramEnd"/>
      <w:r>
        <w:t xml:space="preserve"> </w:t>
      </w:r>
      <w:r>
        <w:rPr>
          <w:color w:val="000000"/>
        </w:rPr>
        <w:t xml:space="preserve">or initial capability </w:t>
      </w:r>
      <w:r>
        <w:t>cost greater than or equal to $1B)</w:t>
      </w:r>
      <w:r w:rsidRPr="00BD7594">
        <w:t xml:space="preserve"> at KDP B and high</w:t>
      </w:r>
      <w:r>
        <w:t>-</w:t>
      </w:r>
      <w:r w:rsidRPr="00BD7594">
        <w:t>fidelity cost and schedule commitments at KDP C.</w:t>
      </w:r>
      <w:r>
        <w:t xml:space="preserve"> </w:t>
      </w:r>
    </w:p>
    <w:p w14:paraId="35232615" w14:textId="6A982928" w:rsidR="00494796" w:rsidRDefault="00494796" w:rsidP="00494796">
      <w:pPr>
        <w:pStyle w:val="BodyText"/>
      </w:pPr>
      <w:r w:rsidRPr="006C07B6">
        <w:t xml:space="preserve">The Formulation Agreement serves as a tool for communicating and negotiating the </w:t>
      </w:r>
      <w:r>
        <w:t>project’s or single-project program’s</w:t>
      </w:r>
      <w:r w:rsidRPr="006C07B6">
        <w:t xml:space="preserve"> Formulation plans and resource allocations with the program and Mission Directorate</w:t>
      </w:r>
      <w:r>
        <w:t xml:space="preserve">.  </w:t>
      </w:r>
      <w:r w:rsidRPr="00BD7594">
        <w:t>It allows for differences in approach between competed versus assigned missions</w:t>
      </w:r>
      <w:r>
        <w:t xml:space="preserve">.  </w:t>
      </w:r>
      <w:r w:rsidRPr="00BD7594">
        <w:t>Variances with NPR 7120.</w:t>
      </w:r>
      <w:r w:rsidRPr="00A33E84">
        <w:t>5</w:t>
      </w:r>
      <w:r w:rsidR="00E85A01" w:rsidRPr="00A33E84">
        <w:t>F</w:t>
      </w:r>
      <w:r w:rsidRPr="00A33E84">
        <w:t xml:space="preserve"> </w:t>
      </w:r>
      <w:r w:rsidRPr="00852BC2">
        <w:t>product maturities as documented in Appendix I</w:t>
      </w:r>
      <w:r w:rsidRPr="00852BC2">
        <w:rPr>
          <w:rFonts w:eastAsia="Calibri"/>
        </w:rPr>
        <w:t xml:space="preserve"> </w:t>
      </w:r>
      <w:r>
        <w:rPr>
          <w:rFonts w:eastAsia="Calibri"/>
        </w:rPr>
        <w:t>of NPR 7120.</w:t>
      </w:r>
      <w:r w:rsidRPr="00A33E84">
        <w:rPr>
          <w:rFonts w:eastAsia="Calibri"/>
        </w:rPr>
        <w:t>5</w:t>
      </w:r>
      <w:r w:rsidR="00E85A01" w:rsidRPr="00A33E84">
        <w:rPr>
          <w:rFonts w:eastAsia="Calibri"/>
        </w:rPr>
        <w:t>F</w:t>
      </w:r>
      <w:r w:rsidRPr="00A33E84">
        <w:rPr>
          <w:rFonts w:eastAsia="Calibri"/>
        </w:rPr>
        <w:t xml:space="preserve"> </w:t>
      </w:r>
      <w:r w:rsidRPr="00A33E84">
        <w:t xml:space="preserve">are </w:t>
      </w:r>
      <w:r w:rsidRPr="00BD7594">
        <w:t>identified with supporting rationale in th</w:t>
      </w:r>
      <w:r>
        <w:t>e</w:t>
      </w:r>
      <w:r w:rsidRPr="00BD7594">
        <w:t xml:space="preserve"> Agreement</w:t>
      </w:r>
      <w:r>
        <w:t xml:space="preserve">.  </w:t>
      </w:r>
      <w:r w:rsidRPr="00BD7594">
        <w:t>The approved Agreement serves as authorization for these variances</w:t>
      </w:r>
      <w:r>
        <w:t xml:space="preserve">.  </w:t>
      </w:r>
      <w:r w:rsidRPr="006C07B6">
        <w:t>The Agreement is approved and signed at KDP A and is updated and resubmitted for signature at KDP B</w:t>
      </w:r>
      <w:r>
        <w:t xml:space="preserve">.  </w:t>
      </w:r>
      <w:r w:rsidRPr="006C07B6">
        <w:t xml:space="preserve">The Formulation Agreement for KDP A includes detailed Phase </w:t>
      </w:r>
      <w:proofErr w:type="spellStart"/>
      <w:r w:rsidRPr="006C07B6">
        <w:t>A</w:t>
      </w:r>
      <w:proofErr w:type="spellEnd"/>
      <w:r w:rsidRPr="006C07B6">
        <w:t xml:space="preserve"> information and preliminary Phase B information</w:t>
      </w:r>
      <w:r>
        <w:t xml:space="preserve">.  </w:t>
      </w:r>
      <w:r w:rsidRPr="006C07B6">
        <w:t xml:space="preserve">The Formulation Agreement for KDP B </w:t>
      </w:r>
      <w:r w:rsidRPr="00EA096C">
        <w:t>identifies the progress made during Phase A and updates and details Phase B</w:t>
      </w:r>
      <w:r w:rsidRPr="006C07B6">
        <w:t xml:space="preserve">. </w:t>
      </w:r>
    </w:p>
    <w:p w14:paraId="2078D39D" w14:textId="4A37AE63" w:rsidR="00494796" w:rsidRDefault="00494796" w:rsidP="00494796">
      <w:pPr>
        <w:pStyle w:val="BodyText"/>
        <w:rPr>
          <w:color w:val="000000"/>
        </w:rPr>
      </w:pPr>
      <w:r w:rsidRPr="00A23ABD">
        <w:rPr>
          <w:color w:val="000000"/>
        </w:rPr>
        <w:t xml:space="preserve">Each section of the </w:t>
      </w:r>
      <w:r>
        <w:rPr>
          <w:color w:val="000000"/>
        </w:rPr>
        <w:t>Formulation Agreement</w:t>
      </w:r>
      <w:r w:rsidRPr="00A23ABD">
        <w:rPr>
          <w:color w:val="000000"/>
        </w:rPr>
        <w:t xml:space="preserve"> template is required</w:t>
      </w:r>
      <w:r>
        <w:rPr>
          <w:color w:val="000000"/>
        </w:rPr>
        <w:t xml:space="preserve">.  </w:t>
      </w:r>
      <w:r w:rsidRPr="00A23ABD">
        <w:rPr>
          <w:color w:val="000000"/>
        </w:rPr>
        <w:t xml:space="preserve">If a section is not applicable to a particular </w:t>
      </w:r>
      <w:r>
        <w:rPr>
          <w:color w:val="000000"/>
        </w:rPr>
        <w:t>project or single-project program</w:t>
      </w:r>
      <w:r w:rsidRPr="00A23ABD">
        <w:rPr>
          <w:color w:val="000000"/>
        </w:rPr>
        <w:t xml:space="preserve">, </w:t>
      </w:r>
      <w:r>
        <w:rPr>
          <w:color w:val="000000"/>
        </w:rPr>
        <w:t xml:space="preserve">the project or single-project program </w:t>
      </w:r>
      <w:r w:rsidRPr="00A23ABD">
        <w:rPr>
          <w:color w:val="000000"/>
        </w:rPr>
        <w:t>indicate</w:t>
      </w:r>
      <w:r>
        <w:rPr>
          <w:color w:val="000000"/>
        </w:rPr>
        <w:t>s that</w:t>
      </w:r>
      <w:r w:rsidRPr="00A23ABD">
        <w:rPr>
          <w:color w:val="000000"/>
        </w:rPr>
        <w:t xml:space="preserve"> in the appropriate section and provide</w:t>
      </w:r>
      <w:r>
        <w:rPr>
          <w:color w:val="000000"/>
        </w:rPr>
        <w:t>s</w:t>
      </w:r>
      <w:r w:rsidRPr="00A23ABD">
        <w:rPr>
          <w:color w:val="000000"/>
        </w:rPr>
        <w:t xml:space="preserve"> a rationale</w:t>
      </w:r>
      <w:r>
        <w:rPr>
          <w:color w:val="000000"/>
        </w:rPr>
        <w:t xml:space="preserve">.  </w:t>
      </w:r>
      <w:r w:rsidRPr="00A23ABD">
        <w:rPr>
          <w:color w:val="000000"/>
        </w:rPr>
        <w:t>If a secti</w:t>
      </w:r>
      <w:r>
        <w:rPr>
          <w:color w:val="000000"/>
        </w:rPr>
        <w:t>on is applicable but the project or single-project program</w:t>
      </w:r>
      <w:r w:rsidRPr="00A23ABD">
        <w:rPr>
          <w:color w:val="000000"/>
        </w:rPr>
        <w:t xml:space="preserve"> desires to omit the section or parts of a section, then a waiver </w:t>
      </w:r>
      <w:r>
        <w:rPr>
          <w:color w:val="000000"/>
        </w:rPr>
        <w:t>or deviation needs to</w:t>
      </w:r>
      <w:r w:rsidRPr="00A23ABD">
        <w:rPr>
          <w:color w:val="000000"/>
        </w:rPr>
        <w:t xml:space="preserve"> be obtained in accordance </w:t>
      </w:r>
      <w:r w:rsidRPr="00A33E84">
        <w:t>with the tailoring process for NPR 7120.5</w:t>
      </w:r>
      <w:r w:rsidR="00E85A01" w:rsidRPr="00A33E84">
        <w:t>F</w:t>
      </w:r>
      <w:r w:rsidRPr="00A33E84">
        <w:t xml:space="preserve">.  (See </w:t>
      </w:r>
      <w:r w:rsidR="00E85A01" w:rsidRPr="00A33E84">
        <w:t xml:space="preserve">NPR 7120.5F </w:t>
      </w:r>
      <w:r w:rsidRPr="00A33E84">
        <w:t xml:space="preserve">Section 3.5.) Approvals for waivers are documented in the Compliance Matrix, and the Compliance Matrix for </w:t>
      </w:r>
      <w:r w:rsidR="00EA6D08" w:rsidRPr="00A33E84">
        <w:t>NPR 7120.5F</w:t>
      </w:r>
      <w:r w:rsidRPr="00A33E84">
        <w:t xml:space="preserve"> is attached to the Formulation Agreement.  If the format of the completed project or single-project Formulation Agreement differs from this template, a cross-reference table indicating where the information for each template paragraph is needs to be provided with the document when it is submitted </w:t>
      </w:r>
      <w:r w:rsidRPr="00AE24F8">
        <w:rPr>
          <w:color w:val="000000"/>
        </w:rPr>
        <w:t xml:space="preserve">for </w:t>
      </w:r>
      <w:r>
        <w:rPr>
          <w:color w:val="000000"/>
        </w:rPr>
        <w:t xml:space="preserve">the </w:t>
      </w:r>
      <w:r w:rsidRPr="00AE24F8">
        <w:rPr>
          <w:color w:val="000000"/>
        </w:rPr>
        <w:t>MDAA signature.</w:t>
      </w:r>
    </w:p>
    <w:p w14:paraId="565AFBA9" w14:textId="66066906" w:rsidR="00494796" w:rsidRDefault="00494796" w:rsidP="00494796">
      <w:pPr>
        <w:pStyle w:val="BodyText"/>
        <w:rPr>
          <w:color w:val="000000"/>
        </w:rPr>
      </w:pPr>
      <w:r>
        <w:rPr>
          <w:color w:val="000000"/>
        </w:rPr>
        <w:t>The approval signatures of MDAA, the Center Director, and the program manager certify that the Formulation Agreement implements all the Agency’s applicable institutional requirements or that the owner of those requirements (e.g., Safety and Mission Assurance) has agreed to the modification of those requirements contained in the Formulation Agreement.</w:t>
      </w:r>
    </w:p>
    <w:p w14:paraId="7B756320" w14:textId="6CF573F7" w:rsidR="00494796" w:rsidRDefault="00494796" w:rsidP="00494796">
      <w:pPr>
        <w:pStyle w:val="BodyText"/>
        <w:rPr>
          <w:color w:val="000000"/>
        </w:rPr>
      </w:pPr>
      <w:r>
        <w:t xml:space="preserve">Products developed as part of or </w:t>
      </w:r>
      <w:proofErr w:type="gramStart"/>
      <w:r>
        <w:t>as a result of</w:t>
      </w:r>
      <w:proofErr w:type="gramEnd"/>
      <w:r>
        <w:t xml:space="preserve"> the Formulation Agreement may be incorporated into the Project or Single-Project Program Plan, if appropriate, as the Project or Single-Project </w:t>
      </w:r>
      <w:r>
        <w:lastRenderedPageBreak/>
        <w:t xml:space="preserve">Program Plan is developed during Formulation.  The project or single-project program may use the preliminary Project or Single-Project Program Plan to describe and control the project’s or single-project program’s execution </w:t>
      </w:r>
      <w:proofErr w:type="gramStart"/>
      <w:r>
        <w:t>as long as</w:t>
      </w:r>
      <w:proofErr w:type="gramEnd"/>
      <w:r>
        <w:t xml:space="preserve"> the Project or Single-Project Program Plan does not conflict with the Formulation Agreement.</w:t>
      </w:r>
    </w:p>
    <w:p w14:paraId="6168AF92" w14:textId="77777777" w:rsidR="00494796" w:rsidRDefault="00494796" w:rsidP="00494796">
      <w:pPr>
        <w:pStyle w:val="BodyText"/>
        <w:rPr>
          <w:color w:val="000000"/>
        </w:rPr>
      </w:pPr>
    </w:p>
    <w:p w14:paraId="08245214" w14:textId="31AE2BA7" w:rsidR="00494796" w:rsidRDefault="00494796" w:rsidP="00494796">
      <w:pPr>
        <w:pStyle w:val="Heading2-Other"/>
        <w:rPr>
          <w:color w:val="000000"/>
        </w:rPr>
      </w:pPr>
      <w:r>
        <w:rPr>
          <w:color w:val="000000"/>
        </w:rPr>
        <w:br w:type="page"/>
      </w:r>
      <w:bookmarkStart w:id="4" w:name="_Toc59181490"/>
      <w:bookmarkStart w:id="5" w:name="_Toc71122720"/>
      <w:r w:rsidRPr="00A33E84">
        <w:lastRenderedPageBreak/>
        <w:t>Formulation Agreement Title Page</w:t>
      </w:r>
      <w:bookmarkEnd w:id="4"/>
      <w:bookmarkEnd w:id="5"/>
    </w:p>
    <w:p w14:paraId="746D7B2A" w14:textId="77777777" w:rsidR="00494796" w:rsidRDefault="00494796" w:rsidP="00494796">
      <w:pPr>
        <w:pStyle w:val="Heading2-Other"/>
        <w:rPr>
          <w:color w:val="000000"/>
        </w:rPr>
      </w:pPr>
    </w:p>
    <w:p w14:paraId="271AF96A" w14:textId="77777777" w:rsidR="0049479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r>
        <w:rPr>
          <w:b/>
          <w:color w:val="000000"/>
          <w:sz w:val="28"/>
          <w:szCs w:val="28"/>
        </w:rPr>
        <w:t>[</w:t>
      </w:r>
      <w:r>
        <w:rPr>
          <w:b/>
          <w:i/>
          <w:color w:val="000000"/>
          <w:sz w:val="28"/>
          <w:szCs w:val="28"/>
        </w:rPr>
        <w:t>Project or Single-Project Program</w:t>
      </w:r>
      <w:r w:rsidRPr="00A40435">
        <w:rPr>
          <w:b/>
          <w:i/>
          <w:color w:val="000000"/>
          <w:sz w:val="28"/>
          <w:szCs w:val="28"/>
        </w:rPr>
        <w:t xml:space="preserve"> Name</w:t>
      </w:r>
      <w:r>
        <w:rPr>
          <w:b/>
          <w:color w:val="000000"/>
          <w:sz w:val="28"/>
          <w:szCs w:val="28"/>
        </w:rPr>
        <w:t xml:space="preserve">] </w:t>
      </w:r>
      <w:r w:rsidRPr="00A23ABD">
        <w:rPr>
          <w:b/>
          <w:color w:val="000000"/>
          <w:sz w:val="28"/>
          <w:szCs w:val="28"/>
        </w:rPr>
        <w:t xml:space="preserve">Formulation </w:t>
      </w:r>
      <w:r>
        <w:rPr>
          <w:b/>
          <w:color w:val="000000"/>
          <w:sz w:val="28"/>
          <w:szCs w:val="28"/>
        </w:rPr>
        <w:t>Agreement</w:t>
      </w:r>
    </w:p>
    <w:p w14:paraId="50DF146C" w14:textId="77777777" w:rsidR="0049479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p>
    <w:p w14:paraId="191F66ED" w14:textId="77777777" w:rsidR="00494796" w:rsidRPr="00A23ABD"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jc w:val="center"/>
        <w:rPr>
          <w:b/>
          <w:color w:val="000000"/>
          <w:sz w:val="28"/>
          <w:szCs w:val="28"/>
        </w:rPr>
      </w:pPr>
      <w:r>
        <w:rPr>
          <w:b/>
          <w:color w:val="000000"/>
          <w:sz w:val="28"/>
          <w:szCs w:val="28"/>
        </w:rPr>
        <w:t>[</w:t>
      </w:r>
      <w:r w:rsidRPr="00A40435">
        <w:rPr>
          <w:b/>
          <w:i/>
          <w:color w:val="000000"/>
          <w:sz w:val="28"/>
          <w:szCs w:val="28"/>
        </w:rPr>
        <w:t>short title or acronym</w:t>
      </w:r>
      <w:r>
        <w:rPr>
          <w:b/>
          <w:color w:val="000000"/>
          <w:sz w:val="28"/>
          <w:szCs w:val="28"/>
        </w:rPr>
        <w:t>]</w:t>
      </w:r>
    </w:p>
    <w:p w14:paraId="64BC56F4" w14:textId="77777777" w:rsidR="0049479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2860CC13" w14:textId="77777777" w:rsidR="00494796" w:rsidRPr="00A23ABD"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r w:rsidRPr="00A23ABD">
        <w:rPr>
          <w:color w:val="000000"/>
        </w:rPr>
        <w:t xml:space="preserve">(Provide a title for the candidate </w:t>
      </w:r>
      <w:r>
        <w:rPr>
          <w:color w:val="000000"/>
        </w:rPr>
        <w:t>project or single-project program</w:t>
      </w:r>
      <w:r w:rsidRPr="00A23ABD">
        <w:rPr>
          <w:color w:val="000000"/>
        </w:rPr>
        <w:t xml:space="preserve"> and designate a short title or proposed acronym in parenthesis, if appropriate.)</w:t>
      </w:r>
    </w:p>
    <w:p w14:paraId="2481AAED" w14:textId="77777777" w:rsidR="00494796" w:rsidRPr="00A23ABD"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1D871E84" w14:textId="77777777" w:rsidR="00494796" w:rsidRPr="00A23ABD"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___________________________________</w:t>
      </w:r>
      <w:r w:rsidRPr="00A23ABD">
        <w:rPr>
          <w:color w:val="000000"/>
        </w:rPr>
        <w:tab/>
      </w:r>
      <w:r w:rsidRPr="00A23ABD">
        <w:rPr>
          <w:color w:val="000000"/>
        </w:rPr>
        <w:tab/>
      </w:r>
      <w:r w:rsidRPr="00A23ABD">
        <w:rPr>
          <w:color w:val="000000"/>
        </w:rPr>
        <w:tab/>
        <w:t>___________</w:t>
      </w:r>
    </w:p>
    <w:p w14:paraId="63AA6E51" w14:textId="77777777" w:rsidR="00494796" w:rsidRPr="00A23ABD"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rPr>
          <w:color w:val="000000"/>
        </w:rPr>
      </w:pPr>
      <w:r w:rsidRPr="00A23ABD">
        <w:rPr>
          <w:color w:val="000000"/>
        </w:rPr>
        <w:t>Mission Directorate Associate Administrator</w:t>
      </w:r>
      <w:r w:rsidRPr="00A23ABD">
        <w:rPr>
          <w:color w:val="000000"/>
        </w:rPr>
        <w:tab/>
      </w:r>
      <w:r w:rsidRPr="00A23ABD">
        <w:rPr>
          <w:color w:val="000000"/>
        </w:rPr>
        <w:tab/>
      </w:r>
      <w:r w:rsidRPr="00A23ABD">
        <w:rPr>
          <w:color w:val="000000"/>
        </w:rPr>
        <w:tab/>
        <w:t>Date</w:t>
      </w:r>
    </w:p>
    <w:p w14:paraId="1C56F464" w14:textId="77777777" w:rsidR="0049479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rPr>
          <w:color w:val="000000"/>
        </w:rPr>
      </w:pPr>
    </w:p>
    <w:p w14:paraId="4EEA676F"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985526">
        <w:t>___________________________________</w:t>
      </w:r>
      <w:r w:rsidRPr="00985526">
        <w:tab/>
      </w:r>
      <w:r w:rsidRPr="00985526">
        <w:tab/>
      </w:r>
      <w:r w:rsidRPr="00985526">
        <w:tab/>
        <w:t>___________</w:t>
      </w:r>
    </w:p>
    <w:p w14:paraId="118EF5A1"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t>Center Director (as many signature lines as needed)</w:t>
      </w:r>
      <w:r w:rsidRPr="00985526">
        <w:tab/>
      </w:r>
      <w:r w:rsidRPr="00985526">
        <w:tab/>
      </w:r>
      <w:r w:rsidRPr="00985526">
        <w:tab/>
        <w:t>Date</w:t>
      </w:r>
    </w:p>
    <w:p w14:paraId="3471CEF9"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0D1DE3C0"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985526">
        <w:t>___________________________________</w:t>
      </w:r>
      <w:r w:rsidRPr="00985526">
        <w:tab/>
      </w:r>
      <w:r w:rsidRPr="00985526">
        <w:tab/>
      </w:r>
      <w:r w:rsidRPr="00985526">
        <w:tab/>
        <w:t>___________</w:t>
      </w:r>
    </w:p>
    <w:p w14:paraId="4EB7068E"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pPr>
      <w:r>
        <w:t>Program Manager</w:t>
      </w:r>
      <w:r>
        <w:tab/>
      </w:r>
      <w:r w:rsidRPr="00985526">
        <w:tab/>
      </w:r>
      <w:r w:rsidRPr="00985526">
        <w:tab/>
      </w:r>
      <w:r w:rsidRPr="00985526">
        <w:tab/>
      </w:r>
      <w:r w:rsidRPr="00985526">
        <w:tab/>
      </w:r>
      <w:r>
        <w:tab/>
      </w:r>
      <w:r>
        <w:tab/>
      </w:r>
      <w:r w:rsidRPr="00985526">
        <w:t>Date</w:t>
      </w:r>
    </w:p>
    <w:p w14:paraId="5E834C34" w14:textId="77777777" w:rsidR="0049479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6E0F3FD4"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985526">
        <w:t>___________________________________</w:t>
      </w:r>
      <w:r w:rsidRPr="00985526">
        <w:tab/>
      </w:r>
      <w:r w:rsidRPr="00985526">
        <w:tab/>
      </w:r>
      <w:r w:rsidRPr="00985526">
        <w:tab/>
        <w:t>___________</w:t>
      </w:r>
    </w:p>
    <w:p w14:paraId="5A109928"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pPr>
      <w:r>
        <w:t>Project Manager</w:t>
      </w:r>
      <w:r>
        <w:tab/>
      </w:r>
      <w:r w:rsidRPr="00985526">
        <w:tab/>
      </w:r>
      <w:r w:rsidRPr="00985526">
        <w:tab/>
      </w:r>
      <w:r w:rsidRPr="00985526">
        <w:tab/>
      </w:r>
      <w:r w:rsidRPr="00985526">
        <w:tab/>
      </w:r>
      <w:r>
        <w:tab/>
      </w:r>
      <w:r>
        <w:tab/>
      </w:r>
      <w:r w:rsidRPr="00985526">
        <w:t>Date</w:t>
      </w:r>
    </w:p>
    <w:p w14:paraId="49D07829"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pPr>
    </w:p>
    <w:p w14:paraId="5D9E948F" w14:textId="77777777" w:rsidR="00494796" w:rsidRPr="0098552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s>
        <w:rPr>
          <w:b/>
        </w:rPr>
      </w:pPr>
    </w:p>
    <w:p w14:paraId="27B61FB9" w14:textId="77777777" w:rsidR="00494796" w:rsidRDefault="00494796" w:rsidP="00494796">
      <w:pPr>
        <w:pBdr>
          <w:top w:val="single" w:sz="6" w:space="1" w:color="auto"/>
          <w:left w:val="single" w:sz="6" w:space="1" w:color="auto"/>
          <w:bottom w:val="single" w:sz="6" w:space="1" w:color="auto"/>
          <w:right w:val="single" w:sz="6" w:space="1" w:color="auto"/>
        </w:pBdr>
        <w:tabs>
          <w:tab w:val="left" w:pos="360"/>
          <w:tab w:val="left" w:pos="720"/>
          <w:tab w:val="left" w:pos="1080"/>
          <w:tab w:val="left" w:pos="5040"/>
        </w:tabs>
      </w:pPr>
      <w:r w:rsidRPr="007404B5">
        <w:rPr>
          <w:szCs w:val="22"/>
        </w:rPr>
        <w:t xml:space="preserve">By signing this document, </w:t>
      </w:r>
      <w:r>
        <w:rPr>
          <w:szCs w:val="22"/>
        </w:rPr>
        <w:t>signatories</w:t>
      </w:r>
      <w:r w:rsidRPr="007404B5">
        <w:rPr>
          <w:szCs w:val="22"/>
        </w:rPr>
        <w:t xml:space="preserve"> are certifying that the content herein is acceptable as direction for managing this </w:t>
      </w:r>
      <w:r>
        <w:rPr>
          <w:szCs w:val="22"/>
        </w:rPr>
        <w:t>project or single-project program</w:t>
      </w:r>
      <w:r w:rsidRPr="007404B5">
        <w:rPr>
          <w:szCs w:val="22"/>
        </w:rPr>
        <w:t xml:space="preserve"> and that </w:t>
      </w:r>
      <w:r>
        <w:rPr>
          <w:szCs w:val="22"/>
        </w:rPr>
        <w:t>they</w:t>
      </w:r>
      <w:r w:rsidRPr="007404B5">
        <w:rPr>
          <w:szCs w:val="22"/>
        </w:rPr>
        <w:t xml:space="preserve"> will ensure its implementation by those over wh</w:t>
      </w:r>
      <w:r>
        <w:rPr>
          <w:szCs w:val="22"/>
        </w:rPr>
        <w:t>om</w:t>
      </w:r>
      <w:r w:rsidRPr="007404B5">
        <w:rPr>
          <w:szCs w:val="22"/>
        </w:rPr>
        <w:t xml:space="preserve"> </w:t>
      </w:r>
      <w:r>
        <w:rPr>
          <w:szCs w:val="22"/>
        </w:rPr>
        <w:t>they</w:t>
      </w:r>
      <w:r w:rsidRPr="007404B5">
        <w:rPr>
          <w:szCs w:val="22"/>
        </w:rPr>
        <w:t xml:space="preserve"> have authority.</w:t>
      </w:r>
    </w:p>
    <w:p w14:paraId="10EBB3A8" w14:textId="66FFABD6" w:rsidR="00494796" w:rsidRPr="00A40435" w:rsidRDefault="00494796" w:rsidP="00494796">
      <w:pPr>
        <w:pStyle w:val="Caption"/>
      </w:pPr>
      <w:bookmarkStart w:id="6" w:name="_Toc336767673"/>
      <w:bookmarkStart w:id="7" w:name="_Toc58232316"/>
      <w:bookmarkStart w:id="8" w:name="_Toc58232585"/>
      <w:bookmarkStart w:id="9" w:name="_Toc58232834"/>
      <w:bookmarkStart w:id="10" w:name="_Toc59184159"/>
      <w:bookmarkStart w:id="11" w:name="_Toc71123201"/>
      <w:r w:rsidRPr="00A33E84">
        <w:t xml:space="preserve">Figure 1 Formulation </w:t>
      </w:r>
      <w:r w:rsidRPr="00A40435">
        <w:t>Agreement Title Page</w:t>
      </w:r>
      <w:bookmarkEnd w:id="6"/>
      <w:bookmarkEnd w:id="7"/>
      <w:bookmarkEnd w:id="8"/>
      <w:bookmarkEnd w:id="9"/>
      <w:bookmarkEnd w:id="10"/>
      <w:bookmarkEnd w:id="11"/>
    </w:p>
    <w:p w14:paraId="3D57F764" w14:textId="77777777" w:rsidR="00494796" w:rsidRPr="00A40435" w:rsidRDefault="00494796" w:rsidP="00494796">
      <w:pPr>
        <w:pStyle w:val="Heading2-Other"/>
      </w:pPr>
    </w:p>
    <w:p w14:paraId="72BA9C7B" w14:textId="77777777" w:rsidR="00494796" w:rsidRDefault="00494796" w:rsidP="00494796">
      <w:pPr>
        <w:pStyle w:val="Heading2-Other"/>
        <w:ind w:left="0" w:firstLine="0"/>
        <w:rPr>
          <w:color w:val="000000"/>
        </w:rPr>
      </w:pPr>
    </w:p>
    <w:p w14:paraId="7C11FCC3" w14:textId="77777777" w:rsidR="00494796" w:rsidRDefault="00494796" w:rsidP="00494796">
      <w:pPr>
        <w:tabs>
          <w:tab w:val="left" w:pos="1980"/>
        </w:tabs>
        <w:rPr>
          <w:color w:val="000000"/>
        </w:rPr>
      </w:pPr>
    </w:p>
    <w:p w14:paraId="591ABC33" w14:textId="29F9C54D" w:rsidR="00494796" w:rsidRPr="00A33E84" w:rsidRDefault="00494796" w:rsidP="00494796">
      <w:pPr>
        <w:tabs>
          <w:tab w:val="left" w:pos="1980"/>
        </w:tabs>
        <w:rPr>
          <w:rFonts w:ascii="Arial" w:hAnsi="Arial" w:cs="Arial"/>
          <w:b/>
        </w:rPr>
      </w:pPr>
      <w:r>
        <w:rPr>
          <w:rFonts w:ascii="Arial" w:hAnsi="Arial" w:cs="Arial"/>
          <w:b/>
          <w:color w:val="000000"/>
        </w:rPr>
        <w:br w:type="page"/>
      </w:r>
      <w:r w:rsidRPr="00A33E84">
        <w:rPr>
          <w:rFonts w:ascii="Arial" w:hAnsi="Arial" w:cs="Arial"/>
          <w:b/>
        </w:rPr>
        <w:lastRenderedPageBreak/>
        <w:t>Formulation Agreement Template</w:t>
      </w:r>
    </w:p>
    <w:p w14:paraId="71B2D800" w14:textId="77777777" w:rsidR="00494796" w:rsidRPr="00A33E84" w:rsidRDefault="00494796" w:rsidP="00494796">
      <w:pPr>
        <w:tabs>
          <w:tab w:val="left" w:pos="1980"/>
        </w:tabs>
        <w:rPr>
          <w:rFonts w:ascii="Arial" w:hAnsi="Arial" w:cs="Arial"/>
          <w:b/>
        </w:rPr>
      </w:pPr>
    </w:p>
    <w:p w14:paraId="75157248" w14:textId="77777777" w:rsidR="00494796" w:rsidRPr="00A33E84" w:rsidRDefault="00494796" w:rsidP="00494796">
      <w:pPr>
        <w:tabs>
          <w:tab w:val="left" w:pos="1980"/>
        </w:tabs>
        <w:jc w:val="center"/>
        <w:rPr>
          <w:b/>
          <w:sz w:val="28"/>
          <w:szCs w:val="28"/>
        </w:rPr>
      </w:pPr>
      <w:r w:rsidRPr="00A33E84">
        <w:rPr>
          <w:b/>
          <w:sz w:val="28"/>
          <w:szCs w:val="28"/>
        </w:rPr>
        <w:t>[</w:t>
      </w:r>
      <w:r w:rsidRPr="00A33E84">
        <w:rPr>
          <w:b/>
          <w:i/>
          <w:sz w:val="28"/>
          <w:szCs w:val="28"/>
        </w:rPr>
        <w:t>Project or Single-Project Program Name</w:t>
      </w:r>
      <w:r w:rsidRPr="00A33E84">
        <w:rPr>
          <w:b/>
          <w:sz w:val="28"/>
          <w:szCs w:val="28"/>
        </w:rPr>
        <w:t>] Formulation Agreement</w:t>
      </w:r>
    </w:p>
    <w:p w14:paraId="52CE1EC7" w14:textId="77777777" w:rsidR="00494796" w:rsidRPr="00A33E84" w:rsidRDefault="00494796" w:rsidP="00494796">
      <w:pPr>
        <w:tabs>
          <w:tab w:val="left" w:pos="1980"/>
        </w:tabs>
        <w:jc w:val="center"/>
        <w:rPr>
          <w:b/>
          <w:sz w:val="28"/>
          <w:szCs w:val="28"/>
        </w:rPr>
      </w:pPr>
    </w:p>
    <w:p w14:paraId="487FA46A" w14:textId="77777777" w:rsidR="00494796" w:rsidRPr="00A33E84" w:rsidRDefault="00494796" w:rsidP="00494796">
      <w:pPr>
        <w:tabs>
          <w:tab w:val="left" w:pos="1980"/>
        </w:tabs>
        <w:jc w:val="center"/>
        <w:rPr>
          <w:rFonts w:ascii="Arial" w:hAnsi="Arial" w:cs="Arial"/>
          <w:b/>
        </w:rPr>
      </w:pPr>
      <w:r w:rsidRPr="00A33E84">
        <w:rPr>
          <w:b/>
          <w:sz w:val="28"/>
          <w:szCs w:val="28"/>
        </w:rPr>
        <w:t>[</w:t>
      </w:r>
      <w:r w:rsidRPr="00A33E84">
        <w:rPr>
          <w:b/>
          <w:i/>
          <w:sz w:val="28"/>
          <w:szCs w:val="28"/>
        </w:rPr>
        <w:t>short title or acronym</w:t>
      </w:r>
      <w:r w:rsidRPr="00A33E84">
        <w:rPr>
          <w:b/>
          <w:sz w:val="28"/>
          <w:szCs w:val="28"/>
        </w:rPr>
        <w:t>]</w:t>
      </w:r>
    </w:p>
    <w:p w14:paraId="63D35477" w14:textId="77777777" w:rsidR="00494796" w:rsidRPr="00A33E84" w:rsidRDefault="00494796" w:rsidP="00494796">
      <w:pPr>
        <w:tabs>
          <w:tab w:val="left" w:pos="1980"/>
        </w:tabs>
        <w:rPr>
          <w:b/>
          <w:sz w:val="28"/>
          <w:szCs w:val="28"/>
        </w:rPr>
      </w:pPr>
    </w:p>
    <w:p w14:paraId="3D5C50E4" w14:textId="77777777" w:rsidR="00494796" w:rsidRPr="00A33E84" w:rsidRDefault="00494796" w:rsidP="00494796">
      <w:pPr>
        <w:pStyle w:val="AppendixHead-1"/>
      </w:pPr>
      <w:r w:rsidRPr="00A33E84">
        <w:t>1.0  Purpose</w:t>
      </w:r>
    </w:p>
    <w:p w14:paraId="199817BE" w14:textId="0652D6F0" w:rsidR="00494796" w:rsidRPr="00F855E4" w:rsidRDefault="00494796" w:rsidP="00494796">
      <w:pPr>
        <w:pStyle w:val="BodyText"/>
      </w:pPr>
      <w:r w:rsidRPr="00A33E84">
        <w:t xml:space="preserve">Describe the purpose of the program/project, including traceability from Formulation Authorization Agreement (FAD).  (See </w:t>
      </w:r>
      <w:r w:rsidR="00E85A01" w:rsidRPr="00A33E84">
        <w:t xml:space="preserve">NPR 7120.5F </w:t>
      </w:r>
      <w:r w:rsidRPr="00A33E84">
        <w:t xml:space="preserve">Appendix </w:t>
      </w:r>
      <w:r>
        <w:t>E.</w:t>
      </w:r>
      <w:r w:rsidRPr="00375145">
        <w:t>)</w:t>
      </w:r>
      <w:r w:rsidRPr="00003401">
        <w:rPr>
          <w:strike/>
        </w:rPr>
        <w:t xml:space="preserve"> </w:t>
      </w:r>
    </w:p>
    <w:p w14:paraId="7AD3907D" w14:textId="77777777" w:rsidR="00494796" w:rsidRPr="006C07B6" w:rsidRDefault="00494796" w:rsidP="00494796">
      <w:pPr>
        <w:pStyle w:val="AppendixHead-1"/>
      </w:pPr>
      <w:r>
        <w:t>2</w:t>
      </w:r>
      <w:r w:rsidRPr="006C07B6">
        <w:t>.</w:t>
      </w:r>
      <w:r>
        <w:t>0  Project or Single-Project Program</w:t>
      </w:r>
      <w:r w:rsidRPr="006C07B6">
        <w:t xml:space="preserve"> Formulation Framework</w:t>
      </w:r>
    </w:p>
    <w:p w14:paraId="215AFBA8" w14:textId="77777777" w:rsidR="00494796" w:rsidRDefault="00494796" w:rsidP="00494796">
      <w:pPr>
        <w:pStyle w:val="BodyText"/>
      </w:pPr>
      <w:r w:rsidRPr="006C07B6">
        <w:t xml:space="preserve">Identify the </w:t>
      </w:r>
      <w:r>
        <w:t>project or single-project program</w:t>
      </w:r>
      <w:r w:rsidRPr="006C07B6">
        <w:t xml:space="preserve"> organization chart for Formulation; identify the initial </w:t>
      </w:r>
      <w:r>
        <w:t>project or single-project program</w:t>
      </w:r>
      <w:r w:rsidRPr="006C07B6">
        <w:t xml:space="preserve"> team, key personnel, and responsible Centers and partnerships (as known) that will contribute during Formulation</w:t>
      </w:r>
      <w:r>
        <w:t xml:space="preserve">.  </w:t>
      </w:r>
      <w:r w:rsidRPr="006C07B6">
        <w:t xml:space="preserve">Define major roles and responsibilities and identify any Boards and Panels that will be used during Formulation for decision making and managing </w:t>
      </w:r>
      <w:r>
        <w:t>project or single-project program</w:t>
      </w:r>
      <w:r w:rsidRPr="006C07B6">
        <w:t xml:space="preserve"> processes.</w:t>
      </w:r>
    </w:p>
    <w:p w14:paraId="3A751367" w14:textId="2DED0326" w:rsidR="00494796" w:rsidRPr="006C07B6" w:rsidRDefault="00494796" w:rsidP="00494796">
      <w:pPr>
        <w:pStyle w:val="BodyText"/>
      </w:pPr>
      <w:r w:rsidRPr="00CE7D12">
        <w:t>Specifically identify the Decision Authority and governing Program Management Council (PMC) for oversight of the program</w:t>
      </w:r>
      <w:r>
        <w:t xml:space="preserve"> or </w:t>
      </w:r>
      <w:r w:rsidRPr="00CE7D12">
        <w:t xml:space="preserve">project, and </w:t>
      </w:r>
      <w:r w:rsidRPr="00A33E84">
        <w:t>any delegated Decision Authority and delegated governing PMC, per Section 2.3 of NPR 7120.5</w:t>
      </w:r>
      <w:r w:rsidR="00E85A01" w:rsidRPr="00A33E84">
        <w:t>F</w:t>
      </w:r>
      <w:r w:rsidRPr="00A33E84">
        <w:t>.</w:t>
      </w:r>
    </w:p>
    <w:p w14:paraId="3876392D" w14:textId="77777777" w:rsidR="00494796" w:rsidRPr="006C07B6" w:rsidRDefault="00494796" w:rsidP="00494796">
      <w:pPr>
        <w:pStyle w:val="AppendixHead-1"/>
      </w:pPr>
      <w:r>
        <w:t>3</w:t>
      </w:r>
      <w:r w:rsidRPr="006C07B6">
        <w:t>.</w:t>
      </w:r>
      <w:r>
        <w:t>0  Project or Single-Project Program Plan</w:t>
      </w:r>
      <w:r w:rsidRPr="006C07B6">
        <w:t xml:space="preserve"> and </w:t>
      </w:r>
      <w:r>
        <w:t>Project or Single-Project Program</w:t>
      </w:r>
      <w:r w:rsidRPr="006C07B6">
        <w:t xml:space="preserve"> Control Plans </w:t>
      </w:r>
    </w:p>
    <w:p w14:paraId="2A7C3643" w14:textId="789E9321" w:rsidR="00494796" w:rsidRPr="006C07B6" w:rsidRDefault="00494796" w:rsidP="00494796">
      <w:pPr>
        <w:pStyle w:val="BodyText"/>
      </w:pPr>
      <w:r w:rsidRPr="006C07B6">
        <w:rPr>
          <w:bCs/>
          <w:iCs/>
        </w:rPr>
        <w:t xml:space="preserve">Document the </w:t>
      </w:r>
      <w:r>
        <w:rPr>
          <w:bCs/>
          <w:iCs/>
        </w:rPr>
        <w:t>project’s or single-project program’s</w:t>
      </w:r>
      <w:r w:rsidRPr="006C07B6">
        <w:rPr>
          <w:bCs/>
          <w:iCs/>
        </w:rPr>
        <w:t xml:space="preserve"> proposed milestones for delivery of the </w:t>
      </w:r>
      <w:r>
        <w:rPr>
          <w:bCs/>
          <w:iCs/>
        </w:rPr>
        <w:t>Project or Single-Project Program Plan</w:t>
      </w:r>
      <w:r w:rsidRPr="006C07B6">
        <w:rPr>
          <w:bCs/>
          <w:iCs/>
        </w:rPr>
        <w:t xml:space="preserve"> and </w:t>
      </w:r>
      <w:r>
        <w:rPr>
          <w:bCs/>
          <w:iCs/>
        </w:rPr>
        <w:t>project or single-project program</w:t>
      </w:r>
      <w:r w:rsidRPr="006C07B6">
        <w:rPr>
          <w:bCs/>
          <w:iCs/>
        </w:rPr>
        <w:t xml:space="preserve"> control plans on the </w:t>
      </w:r>
      <w:r>
        <w:rPr>
          <w:bCs/>
          <w:iCs/>
        </w:rPr>
        <w:t>project or single-project program</w:t>
      </w:r>
      <w:r w:rsidRPr="006C07B6">
        <w:rPr>
          <w:bCs/>
          <w:iCs/>
        </w:rPr>
        <w:t xml:space="preserve"> schedule and provide rationale for any differences from requirements in </w:t>
      </w:r>
      <w:r w:rsidRPr="00852BC2">
        <w:t>product maturities as documented in Appendix I</w:t>
      </w:r>
      <w:r w:rsidRPr="00852BC2">
        <w:rPr>
          <w:rFonts w:eastAsia="Calibri"/>
        </w:rPr>
        <w:t xml:space="preserve"> </w:t>
      </w:r>
      <w:r w:rsidRPr="006C07B6">
        <w:rPr>
          <w:bCs/>
          <w:iCs/>
        </w:rPr>
        <w:t xml:space="preserve">of </w:t>
      </w:r>
      <w:r>
        <w:rPr>
          <w:bCs/>
          <w:iCs/>
        </w:rPr>
        <w:t>NPR 7120.</w:t>
      </w:r>
      <w:r w:rsidRPr="00A33E84">
        <w:rPr>
          <w:bCs/>
          <w:iCs/>
        </w:rPr>
        <w:t>5</w:t>
      </w:r>
      <w:r w:rsidR="00E85A01" w:rsidRPr="00A33E84">
        <w:rPr>
          <w:bCs/>
          <w:iCs/>
        </w:rPr>
        <w:t>F</w:t>
      </w:r>
      <w:r w:rsidRPr="00A33E84">
        <w:rPr>
          <w:bCs/>
          <w:iCs/>
        </w:rPr>
        <w:t xml:space="preserve">, </w:t>
      </w:r>
      <w:r>
        <w:rPr>
          <w:bCs/>
          <w:iCs/>
        </w:rPr>
        <w:t>NASA Space Flight Program and Project Management Requirements</w:t>
      </w:r>
      <w:r w:rsidRPr="006C07B6">
        <w:rPr>
          <w:bCs/>
          <w:iCs/>
        </w:rPr>
        <w:t xml:space="preserve">. </w:t>
      </w:r>
    </w:p>
    <w:p w14:paraId="7A3A63AE" w14:textId="77777777" w:rsidR="00494796" w:rsidRPr="006C07B6" w:rsidRDefault="00494796" w:rsidP="00494796">
      <w:pPr>
        <w:pStyle w:val="AppendixHead-1"/>
      </w:pPr>
      <w:r>
        <w:t>4</w:t>
      </w:r>
      <w:r w:rsidRPr="006C07B6">
        <w:t>.</w:t>
      </w:r>
      <w:r>
        <w:t>0  Project or Single-Project Program</w:t>
      </w:r>
      <w:r w:rsidRPr="006C07B6">
        <w:t>, System</w:t>
      </w:r>
      <w:r>
        <w:t>,</w:t>
      </w:r>
      <w:r w:rsidRPr="006C07B6">
        <w:t xml:space="preserve"> and Subsystem Requirements Flow Down </w:t>
      </w:r>
    </w:p>
    <w:p w14:paraId="2D0F0505" w14:textId="767F6061" w:rsidR="00494796" w:rsidRPr="006C07B6" w:rsidRDefault="00494796" w:rsidP="00494796">
      <w:pPr>
        <w:pStyle w:val="BodyText"/>
      </w:pPr>
      <w:r w:rsidRPr="006C07B6">
        <w:t xml:space="preserve">Document the </w:t>
      </w:r>
      <w:r>
        <w:t>project’s or single-project program’s</w:t>
      </w:r>
      <w:r w:rsidRPr="006C07B6">
        <w:t xml:space="preserve"> proposed milestones for flow down of requirements to the </w:t>
      </w:r>
      <w:r>
        <w:t>project or single-project program</w:t>
      </w:r>
      <w:r w:rsidRPr="006C07B6">
        <w:t xml:space="preserve">, system, and subsystem levels on the </w:t>
      </w:r>
      <w:r>
        <w:t>project or single-project program</w:t>
      </w:r>
      <w:r w:rsidRPr="006C07B6">
        <w:t xml:space="preserve"> schedule</w:t>
      </w:r>
      <w:r>
        <w:t xml:space="preserve"> and</w:t>
      </w:r>
      <w:r w:rsidRPr="006C07B6">
        <w:t xml:space="preserve"> provide rationale for any differences from requirements in </w:t>
      </w:r>
      <w:r w:rsidRPr="00852BC2">
        <w:t>product maturities as documented in Appendix I</w:t>
      </w:r>
      <w:r w:rsidRPr="00852BC2">
        <w:rPr>
          <w:rFonts w:eastAsia="Calibri"/>
        </w:rPr>
        <w:t xml:space="preserve"> </w:t>
      </w:r>
      <w:r w:rsidRPr="006C07B6">
        <w:t xml:space="preserve">of </w:t>
      </w:r>
      <w:r>
        <w:rPr>
          <w:bCs/>
          <w:iCs/>
        </w:rPr>
        <w:t>NPR 7120.</w:t>
      </w:r>
      <w:r w:rsidRPr="00A33E84">
        <w:rPr>
          <w:bCs/>
          <w:iCs/>
        </w:rPr>
        <w:t>5</w:t>
      </w:r>
      <w:r w:rsidR="00E85A01" w:rsidRPr="00A33E84">
        <w:rPr>
          <w:bCs/>
          <w:iCs/>
        </w:rPr>
        <w:t>F</w:t>
      </w:r>
      <w:r w:rsidRPr="00A33E84">
        <w:t xml:space="preserve">.  Document the project or single-project program schedule for development of any models needed </w:t>
      </w:r>
      <w:r w:rsidRPr="006C07B6">
        <w:t>to support requirements development.</w:t>
      </w:r>
      <w:r>
        <w:t xml:space="preserve"> </w:t>
      </w:r>
    </w:p>
    <w:p w14:paraId="34405F91" w14:textId="77777777" w:rsidR="00494796" w:rsidRPr="006C07B6" w:rsidRDefault="00494796" w:rsidP="00494796">
      <w:pPr>
        <w:pStyle w:val="AppendixHead-1"/>
      </w:pPr>
      <w:r>
        <w:t>5</w:t>
      </w:r>
      <w:r w:rsidRPr="006C07B6">
        <w:t>.</w:t>
      </w:r>
      <w:r>
        <w:t xml:space="preserve">0  </w:t>
      </w:r>
      <w:r w:rsidRPr="006C07B6">
        <w:t>Mission Scenario, Architectures</w:t>
      </w:r>
      <w:r>
        <w:t>,</w:t>
      </w:r>
      <w:r w:rsidRPr="006C07B6">
        <w:t xml:space="preserve"> and Interfaces</w:t>
      </w:r>
    </w:p>
    <w:p w14:paraId="249F13D8" w14:textId="2111DA97" w:rsidR="00494796" w:rsidRPr="009C7BF7" w:rsidRDefault="00494796" w:rsidP="00494796">
      <w:pPr>
        <w:pStyle w:val="BodyText"/>
      </w:pPr>
      <w:r w:rsidRPr="009C7BF7">
        <w:t xml:space="preserve">Document the </w:t>
      </w:r>
      <w:r>
        <w:t>project’s or single-project program’s</w:t>
      </w:r>
      <w:r w:rsidRPr="009C7BF7">
        <w:t xml:space="preserve"> proposed milestones for producing the mission concept, mission scenario (or design reference mission), concept of operations, and mission, spacecraft, payload</w:t>
      </w:r>
      <w:r>
        <w:t>,</w:t>
      </w:r>
      <w:r w:rsidRPr="009C7BF7">
        <w:t xml:space="preserve"> and ground systems architectures down to the level of subsystem interfaces</w:t>
      </w:r>
      <w:r>
        <w:t xml:space="preserve">.  </w:t>
      </w:r>
      <w:r w:rsidRPr="009C7BF7">
        <w:t xml:space="preserve">Include these milestones on the </w:t>
      </w:r>
      <w:r>
        <w:t>project or single-project program</w:t>
      </w:r>
      <w:r w:rsidRPr="009C7BF7">
        <w:t xml:space="preserve"> schedule and </w:t>
      </w:r>
      <w:r w:rsidRPr="009C7BF7">
        <w:lastRenderedPageBreak/>
        <w:t xml:space="preserve">provide </w:t>
      </w:r>
      <w:r w:rsidRPr="00A33E84">
        <w:t xml:space="preserve">rationale for any differences from requirements documented in the tables in Appendix I of </w:t>
      </w:r>
      <w:r w:rsidRPr="00A33E84">
        <w:rPr>
          <w:bCs/>
          <w:iCs/>
        </w:rPr>
        <w:t>NPR</w:t>
      </w:r>
      <w:r w:rsidR="00E85A01" w:rsidRPr="00A33E84">
        <w:rPr>
          <w:bCs/>
          <w:iCs/>
        </w:rPr>
        <w:t xml:space="preserve"> 7120.5F</w:t>
      </w:r>
      <w:r w:rsidRPr="00A33E84">
        <w:t xml:space="preserve">. </w:t>
      </w:r>
    </w:p>
    <w:p w14:paraId="05C91AF7" w14:textId="77777777" w:rsidR="00494796" w:rsidRPr="009C7BF7" w:rsidRDefault="00494796" w:rsidP="00494796">
      <w:pPr>
        <w:pStyle w:val="BodyText"/>
      </w:pPr>
      <w:r w:rsidRPr="009C7BF7">
        <w:t>Reference documentation of the feasible concept, concepts already evaluated</w:t>
      </w:r>
      <w:r>
        <w:t>,</w:t>
      </w:r>
      <w:r w:rsidRPr="009C7BF7">
        <w:t xml:space="preserve"> and plans for additional concepts to be evaluated during Formulation</w:t>
      </w:r>
      <w:r>
        <w:t xml:space="preserve">.  </w:t>
      </w:r>
      <w:r w:rsidRPr="009C7BF7">
        <w:t>Documentation should include ground</w:t>
      </w:r>
      <w:r>
        <w:t xml:space="preserve"> </w:t>
      </w:r>
      <w:r w:rsidRPr="009C7BF7">
        <w:t>rules, assumptions, and constraints used for analysis; key architecture drivers, such as redundancy; preliminary key performance parameters; top-level technical parameters and associated margins; and preliminary driving requirements</w:t>
      </w:r>
      <w:r>
        <w:t xml:space="preserve">.  </w:t>
      </w:r>
      <w:r w:rsidRPr="009C7BF7">
        <w:t>Documentation should also include feasible candidate architectures; open architecture issues and how and when those issues will be resolved; basic descriptions of each element</w:t>
      </w:r>
      <w:r>
        <w:t>;</w:t>
      </w:r>
      <w:r w:rsidRPr="009C7BF7">
        <w:t xml:space="preserve"> and descriptions of interfaces between elements.</w:t>
      </w:r>
      <w:r>
        <w:t xml:space="preserve"> </w:t>
      </w:r>
    </w:p>
    <w:p w14:paraId="0F1C32E0" w14:textId="77777777" w:rsidR="00494796" w:rsidRPr="009C7BF7" w:rsidRDefault="00494796" w:rsidP="00494796">
      <w:pPr>
        <w:pStyle w:val="BodyText"/>
      </w:pPr>
      <w:r w:rsidRPr="009C7BF7">
        <w:t xml:space="preserve">At KDP B update the </w:t>
      </w:r>
      <w:r>
        <w:t>approv</w:t>
      </w:r>
      <w:r w:rsidRPr="009C7BF7">
        <w:t>ed concept and architecture</w:t>
      </w:r>
      <w:r>
        <w:t>,</w:t>
      </w:r>
      <w:r w:rsidRPr="009C7BF7">
        <w:t xml:space="preserve"> including a preliminary definition of the operations concept and updated description of composition of payload/suite of instruments</w:t>
      </w:r>
      <w:r>
        <w:t xml:space="preserve">.  </w:t>
      </w:r>
      <w:r w:rsidRPr="009C7BF7">
        <w:t>Identify the work required to close all architecture and architectural interface issues.</w:t>
      </w:r>
    </w:p>
    <w:p w14:paraId="47D8773E" w14:textId="77777777" w:rsidR="00494796" w:rsidRPr="006C07B6" w:rsidRDefault="00494796" w:rsidP="00494796">
      <w:pPr>
        <w:pStyle w:val="AppendixHead-1"/>
      </w:pPr>
      <w:r>
        <w:t>6</w:t>
      </w:r>
      <w:r w:rsidRPr="006C07B6">
        <w:t>.</w:t>
      </w:r>
      <w:r>
        <w:t xml:space="preserve">0  </w:t>
      </w:r>
      <w:r w:rsidRPr="006C07B6">
        <w:t>Trade Studies</w:t>
      </w:r>
    </w:p>
    <w:p w14:paraId="56636462" w14:textId="77777777" w:rsidR="00494796" w:rsidRPr="006C07B6" w:rsidRDefault="00494796" w:rsidP="00494796">
      <w:pPr>
        <w:pStyle w:val="BodyText"/>
      </w:pPr>
      <w:r w:rsidRPr="006C07B6">
        <w:t>Identify spacecraft and ground systems design trade studies planned during phases A and B, including trade studies that address performance versus cost and risk.</w:t>
      </w:r>
    </w:p>
    <w:p w14:paraId="3E0EDBCB" w14:textId="77777777" w:rsidR="00494796" w:rsidRPr="006C07B6" w:rsidRDefault="00494796" w:rsidP="00494796">
      <w:pPr>
        <w:pStyle w:val="AppendixHead-1"/>
      </w:pPr>
      <w:r>
        <w:t>7</w:t>
      </w:r>
      <w:r w:rsidRPr="006C07B6">
        <w:t>.</w:t>
      </w:r>
      <w:r>
        <w:t xml:space="preserve">0  </w:t>
      </w:r>
      <w:r w:rsidRPr="006C07B6">
        <w:t>Risk Mitigation</w:t>
      </w:r>
    </w:p>
    <w:p w14:paraId="5B12CC91" w14:textId="77777777" w:rsidR="00494796" w:rsidRDefault="00494796" w:rsidP="00494796">
      <w:pPr>
        <w:pStyle w:val="BodyText"/>
      </w:pPr>
      <w:r w:rsidRPr="006C07B6">
        <w:t>Document plans for managing risks during Formulation</w:t>
      </w:r>
      <w:r>
        <w:t xml:space="preserve">.  </w:t>
      </w:r>
      <w:r w:rsidRPr="006C07B6">
        <w:t xml:space="preserve">Identify the </w:t>
      </w:r>
      <w:r>
        <w:t>project’s or single-project program’s</w:t>
      </w:r>
      <w:r w:rsidRPr="006C07B6">
        <w:t xml:space="preserve"> major technical, acquisition, </w:t>
      </w:r>
      <w:r>
        <w:t xml:space="preserve">safety, </w:t>
      </w:r>
      <w:r w:rsidRPr="006C07B6">
        <w:t>cost</w:t>
      </w:r>
      <w:r>
        <w:t>,</w:t>
      </w:r>
      <w:r w:rsidRPr="006C07B6">
        <w:t xml:space="preserve"> and schedule risks to be addressed during Formulation, including risks likely to drive the </w:t>
      </w:r>
      <w:r>
        <w:t>project’s or single-project program’s</w:t>
      </w:r>
      <w:r w:rsidRPr="006C07B6">
        <w:t xml:space="preserve"> cost and schedule range estimates</w:t>
      </w:r>
      <w:r w:rsidRPr="00A44C84">
        <w:t xml:space="preserve"> </w:t>
      </w:r>
      <w:r>
        <w:t>or high and low values for cost and schedule with the corresponding JCL values</w:t>
      </w:r>
      <w:r w:rsidRPr="00BD7594">
        <w:t xml:space="preserve"> </w:t>
      </w:r>
      <w:r w:rsidRPr="006C07B6">
        <w:t>at KDP B, and cost and schedule estimates at KDP C</w:t>
      </w:r>
      <w:r>
        <w:t xml:space="preserve">.  </w:t>
      </w:r>
      <w:r w:rsidRPr="006C07B6">
        <w:t>Describe the associated risk mitigation plans</w:t>
      </w:r>
      <w:r>
        <w:t xml:space="preserve">.  </w:t>
      </w:r>
      <w:r w:rsidRPr="006C07B6">
        <w:t>Provide rationale for addressing these risks during Formulation.</w:t>
      </w:r>
    </w:p>
    <w:p w14:paraId="7B3EBE00" w14:textId="77777777" w:rsidR="00494796" w:rsidRDefault="00494796" w:rsidP="00494796">
      <w:pPr>
        <w:pStyle w:val="BodyText"/>
      </w:pPr>
      <w:r w:rsidRPr="006C07B6">
        <w:t xml:space="preserve">Document the </w:t>
      </w:r>
      <w:r>
        <w:t>project’s or single-project program’s</w:t>
      </w:r>
      <w:r w:rsidRPr="006C07B6">
        <w:t xml:space="preserve"> risk mitigation schedule and funding requirements</w:t>
      </w:r>
      <w:r>
        <w:t xml:space="preserve">.  </w:t>
      </w:r>
      <w:r w:rsidRPr="006C07B6">
        <w:t>Include intermediate milestones and expected progress by KDP B and KDP C.</w:t>
      </w:r>
    </w:p>
    <w:p w14:paraId="310BF259" w14:textId="77777777" w:rsidR="00494796" w:rsidRPr="006C07B6" w:rsidRDefault="00494796" w:rsidP="00494796">
      <w:pPr>
        <w:pStyle w:val="AppendixHead-1"/>
      </w:pPr>
      <w:r>
        <w:t>8</w:t>
      </w:r>
      <w:r w:rsidRPr="006C07B6">
        <w:t>.</w:t>
      </w:r>
      <w:r>
        <w:t xml:space="preserve">0  </w:t>
      </w:r>
      <w:r w:rsidRPr="006C07B6">
        <w:t xml:space="preserve">Technology Readiness Assessment and Development </w:t>
      </w:r>
    </w:p>
    <w:p w14:paraId="325D0CFC" w14:textId="77777777" w:rsidR="00494796" w:rsidRDefault="00494796" w:rsidP="00494796">
      <w:pPr>
        <w:pStyle w:val="BodyText"/>
      </w:pPr>
      <w:r w:rsidRPr="006C07B6">
        <w:t>Identify the specific new technologies</w:t>
      </w:r>
      <w:r>
        <w:t xml:space="preserve"> (Technology Readiness Levels (TRL) less than six)</w:t>
      </w:r>
      <w:r w:rsidRPr="006C07B6">
        <w:t xml:space="preserve"> that are part of this </w:t>
      </w:r>
      <w:r>
        <w:t>project or single-project program</w:t>
      </w:r>
      <w:r w:rsidRPr="006C07B6">
        <w:t xml:space="preserve">; their criticality to the </w:t>
      </w:r>
      <w:r>
        <w:t>project’s or single-project program’s</w:t>
      </w:r>
      <w:r w:rsidRPr="006C07B6">
        <w:t xml:space="preserve"> objectives, goals, and success criteria; and the </w:t>
      </w:r>
      <w:proofErr w:type="gramStart"/>
      <w:r w:rsidRPr="006C07B6">
        <w:t>current status</w:t>
      </w:r>
      <w:proofErr w:type="gramEnd"/>
      <w:r w:rsidRPr="006C07B6">
        <w:t xml:space="preserve"> of each planned technology development, including TRL and associated risks</w:t>
      </w:r>
      <w:r>
        <w:t xml:space="preserve">.  </w:t>
      </w:r>
      <w:r w:rsidRPr="006C07B6">
        <w:t xml:space="preserve">Describe the specific activities and risk mitigation plans, the responsible organizations, models, and key tests to </w:t>
      </w:r>
      <w:r>
        <w:t>ensure</w:t>
      </w:r>
      <w:r w:rsidRPr="006C07B6">
        <w:t xml:space="preserve"> that the technology maturity reaches TRL 6 by </w:t>
      </w:r>
      <w:r>
        <w:t>Preliminary Design Review (</w:t>
      </w:r>
      <w:r w:rsidRPr="006C07B6">
        <w:t>PDR</w:t>
      </w:r>
      <w:r>
        <w:t xml:space="preserve">).  </w:t>
      </w:r>
      <w:r w:rsidRPr="00A7305D">
        <w:t>(Refer</w:t>
      </w:r>
      <w:r>
        <w:t xml:space="preserve"> to</w:t>
      </w:r>
      <w:r w:rsidRPr="00A7305D">
        <w:t xml:space="preserve"> NPR </w:t>
      </w:r>
      <w:r>
        <w:t>7123.1, NASA Systems Engineering Processes and Requirements,</w:t>
      </w:r>
      <w:r w:rsidRPr="00A7305D">
        <w:t xml:space="preserve"> for T</w:t>
      </w:r>
      <w:r>
        <w:t>RL</w:t>
      </w:r>
      <w:r w:rsidRPr="00A7305D">
        <w:t xml:space="preserve"> definitions</w:t>
      </w:r>
      <w:r>
        <w:t xml:space="preserve"> and </w:t>
      </w:r>
      <w:r w:rsidRPr="006B1CEA">
        <w:rPr>
          <w:color w:val="000000"/>
        </w:rPr>
        <w:t>SP-20205003605</w:t>
      </w:r>
      <w:r>
        <w:rPr>
          <w:color w:val="000000"/>
        </w:rPr>
        <w:t xml:space="preserve">, </w:t>
      </w:r>
      <w:r w:rsidRPr="00362286">
        <w:t>Technology Readiness Assessment Best Practices Guide</w:t>
      </w:r>
      <w:r>
        <w:t xml:space="preserve"> for technology readiness assessment best practices</w:t>
      </w:r>
      <w:r w:rsidRPr="00A7305D">
        <w:t>.)</w:t>
      </w:r>
    </w:p>
    <w:p w14:paraId="36C7F26B" w14:textId="77777777" w:rsidR="00494796" w:rsidRPr="006C07B6" w:rsidRDefault="00494796" w:rsidP="00494796">
      <w:pPr>
        <w:pStyle w:val="BodyText"/>
      </w:pPr>
      <w:r w:rsidRPr="006C07B6">
        <w:t xml:space="preserve">Identify off-ramp decision gates and strategies for </w:t>
      </w:r>
      <w:r>
        <w:t>en</w:t>
      </w:r>
      <w:r w:rsidRPr="006C07B6">
        <w:t>suring there are alternative development paths available if technologies do not mature as expected</w:t>
      </w:r>
      <w:r>
        <w:t xml:space="preserve">.  </w:t>
      </w:r>
      <w:r w:rsidRPr="006C07B6">
        <w:t xml:space="preserve">Identify potential cost, schedule, or performance impacts if the technology developments do not reach the required maturity levels. </w:t>
      </w:r>
    </w:p>
    <w:p w14:paraId="2FABC8AA" w14:textId="77777777" w:rsidR="00494796" w:rsidRDefault="00494796" w:rsidP="00494796">
      <w:pPr>
        <w:pStyle w:val="BodyText"/>
      </w:pPr>
      <w:r w:rsidRPr="006C07B6">
        <w:lastRenderedPageBreak/>
        <w:t xml:space="preserve">Provide technology development schedules, including intermediate milestones and funding requirements, during </w:t>
      </w:r>
      <w:r>
        <w:t>p</w:t>
      </w:r>
      <w:r w:rsidRPr="006C07B6">
        <w:t>hases A and B for each identified technology development to achieve TRL 6 by PDR</w:t>
      </w:r>
      <w:r>
        <w:t xml:space="preserve">.  </w:t>
      </w:r>
      <w:r w:rsidRPr="006C07B6">
        <w:t>Describe expected status of each technology development at SRR, MDR/SDR</w:t>
      </w:r>
      <w:r>
        <w:t>,</w:t>
      </w:r>
      <w:r w:rsidRPr="006C07B6">
        <w:t xml:space="preserve"> and PDR</w:t>
      </w:r>
      <w:r>
        <w:t xml:space="preserve">.  </w:t>
      </w:r>
      <w:r w:rsidRPr="006C07B6">
        <w:t>Reference the preliminary or final Technology Development Plan for details as applicable</w:t>
      </w:r>
      <w:r>
        <w:t xml:space="preserve">.  </w:t>
      </w:r>
      <w:r w:rsidRPr="00356C0B">
        <w:t>Describe how the program will transition technologies from the development stage to manufacturing, production, and insertion into the end system</w:t>
      </w:r>
      <w:r>
        <w:t xml:space="preserve">.  </w:t>
      </w:r>
      <w:r w:rsidRPr="00356C0B">
        <w:t>Identify any potential costs and risks associated with the transition to manufacturing, production</w:t>
      </w:r>
      <w:r>
        <w:t>,</w:t>
      </w:r>
      <w:r w:rsidRPr="00356C0B">
        <w:t xml:space="preserve"> and insertion</w:t>
      </w:r>
      <w:r>
        <w:t xml:space="preserve">.  </w:t>
      </w:r>
      <w:r w:rsidRPr="00356C0B">
        <w:t>Develop and document appropriate mitigation plans for the identified risks.</w:t>
      </w:r>
    </w:p>
    <w:p w14:paraId="6C3DFAC5" w14:textId="77777777" w:rsidR="00494796" w:rsidRPr="006C07B6" w:rsidRDefault="00494796" w:rsidP="00494796">
      <w:pPr>
        <w:pStyle w:val="AppendixHead-1"/>
      </w:pPr>
      <w:r>
        <w:t>9</w:t>
      </w:r>
      <w:r w:rsidRPr="006C07B6">
        <w:t>.</w:t>
      </w:r>
      <w:r>
        <w:t xml:space="preserve">0  </w:t>
      </w:r>
      <w:r w:rsidRPr="006C07B6">
        <w:t>Engineering Development Assessment, Prototyping</w:t>
      </w:r>
      <w:r>
        <w:t>,</w:t>
      </w:r>
      <w:r w:rsidRPr="006C07B6">
        <w:t xml:space="preserve"> and Software Models </w:t>
      </w:r>
    </w:p>
    <w:p w14:paraId="20CA4FAE" w14:textId="77777777" w:rsidR="00494796" w:rsidRPr="006C07B6" w:rsidRDefault="00494796" w:rsidP="00494796">
      <w:pPr>
        <w:pStyle w:val="BodyText"/>
      </w:pPr>
      <w:r w:rsidRPr="006C07B6">
        <w:t>Identify major engineering development risks and any engineering prototyping or software model development that needs to be accomplished during phases A and B to reduce development risk (</w:t>
      </w:r>
      <w:r w:rsidRPr="006C07B6">
        <w:rPr>
          <w:color w:val="000000"/>
          <w:szCs w:val="20"/>
        </w:rPr>
        <w:t>Engineering development risks include components and assemblies that have not been previously built or flown in the planned environment</w:t>
      </w:r>
      <w:r>
        <w:rPr>
          <w:color w:val="000000"/>
          <w:szCs w:val="20"/>
        </w:rPr>
        <w:t xml:space="preserve"> </w:t>
      </w:r>
      <w:r w:rsidRPr="00BD7594">
        <w:rPr>
          <w:color w:val="000000"/>
          <w:szCs w:val="20"/>
        </w:rPr>
        <w:t>or that have been significantly modified in functionality, interfaces, power consumption, size</w:t>
      </w:r>
      <w:r>
        <w:rPr>
          <w:color w:val="000000"/>
          <w:szCs w:val="20"/>
        </w:rPr>
        <w:t>,</w:t>
      </w:r>
      <w:r w:rsidRPr="00BD7594">
        <w:rPr>
          <w:color w:val="000000"/>
          <w:szCs w:val="20"/>
        </w:rPr>
        <w:t xml:space="preserve"> or use of materials.</w:t>
      </w:r>
      <w:r w:rsidRPr="006C07B6">
        <w:rPr>
          <w:color w:val="000000"/>
          <w:szCs w:val="20"/>
        </w:rPr>
        <w:t>)</w:t>
      </w:r>
      <w:r>
        <w:rPr>
          <w:color w:val="000000"/>
          <w:szCs w:val="20"/>
        </w:rPr>
        <w:t xml:space="preserve">.  </w:t>
      </w:r>
      <w:r w:rsidRPr="006C07B6">
        <w:t xml:space="preserve">Provide rationale and </w:t>
      </w:r>
      <w:r w:rsidRPr="006C07B6">
        <w:rPr>
          <w:color w:val="000000"/>
          <w:szCs w:val="20"/>
        </w:rPr>
        <w:t xml:space="preserve">potential impacts to </w:t>
      </w:r>
      <w:r>
        <w:rPr>
          <w:color w:val="000000"/>
          <w:szCs w:val="20"/>
        </w:rPr>
        <w:t>project or single-project program</w:t>
      </w:r>
      <w:r w:rsidRPr="006C07B6">
        <w:rPr>
          <w:color w:val="000000"/>
          <w:szCs w:val="20"/>
        </w:rPr>
        <w:t xml:space="preserve"> performance, cost</w:t>
      </w:r>
      <w:r>
        <w:rPr>
          <w:color w:val="000000"/>
          <w:szCs w:val="20"/>
        </w:rPr>
        <w:t>,</w:t>
      </w:r>
      <w:r w:rsidRPr="006C07B6">
        <w:rPr>
          <w:color w:val="000000"/>
          <w:szCs w:val="20"/>
        </w:rPr>
        <w:t xml:space="preserve"> and schedule if development risks are not addressed</w:t>
      </w:r>
      <w:r>
        <w:rPr>
          <w:color w:val="000000"/>
          <w:szCs w:val="20"/>
        </w:rPr>
        <w:t xml:space="preserve">.  </w:t>
      </w:r>
      <w:r w:rsidRPr="006C07B6">
        <w:t>Describe the scope of the prototyping and modeling activities and the expected reduction of cost and risk by performing this work during Formulation</w:t>
      </w:r>
      <w:r>
        <w:t xml:space="preserve">.  </w:t>
      </w:r>
      <w:r w:rsidRPr="006C07B6">
        <w:rPr>
          <w:color w:val="000000"/>
          <w:szCs w:val="20"/>
        </w:rPr>
        <w:t xml:space="preserve">Include the </w:t>
      </w:r>
      <w:r>
        <w:rPr>
          <w:color w:val="000000"/>
          <w:szCs w:val="20"/>
        </w:rPr>
        <w:t>project or single-project program’s</w:t>
      </w:r>
      <w:r w:rsidRPr="006C07B6">
        <w:rPr>
          <w:color w:val="000000"/>
          <w:szCs w:val="20"/>
        </w:rPr>
        <w:t xml:space="preserve"> testing philosophy, including functional, environmental, and qualification testing, any life testing and </w:t>
      </w:r>
      <w:proofErr w:type="spellStart"/>
      <w:r w:rsidRPr="006C07B6">
        <w:rPr>
          <w:color w:val="000000"/>
          <w:szCs w:val="20"/>
        </w:rPr>
        <w:t>protoflight</w:t>
      </w:r>
      <w:proofErr w:type="spellEnd"/>
      <w:r w:rsidRPr="006C07B6">
        <w:rPr>
          <w:color w:val="000000"/>
          <w:szCs w:val="20"/>
        </w:rPr>
        <w:t xml:space="preserve"> test plans, and rationale.</w:t>
      </w:r>
    </w:p>
    <w:p w14:paraId="0C5F8049" w14:textId="77777777" w:rsidR="00494796" w:rsidRPr="006C07B6" w:rsidRDefault="00494796" w:rsidP="00494796">
      <w:pPr>
        <w:pStyle w:val="BodyText"/>
      </w:pPr>
      <w:r w:rsidRPr="006C07B6">
        <w:t>Describe the prototypes and software models to be built, their fidelity (form, fit</w:t>
      </w:r>
      <w:r>
        <w:t>,</w:t>
      </w:r>
      <w:r w:rsidRPr="006C07B6">
        <w:t xml:space="preserve"> and function, etc.), test environments and objectives, and test dates</w:t>
      </w:r>
      <w:r>
        <w:t xml:space="preserve">.  </w:t>
      </w:r>
      <w:r w:rsidRPr="006C07B6">
        <w:t xml:space="preserve">Identify any design alternatives if irresolvable problems are encountered. </w:t>
      </w:r>
    </w:p>
    <w:p w14:paraId="46C91B3B" w14:textId="77777777" w:rsidR="00494796" w:rsidRPr="006C07B6" w:rsidRDefault="00494796" w:rsidP="00494796">
      <w:pPr>
        <w:pStyle w:val="BodyText"/>
      </w:pPr>
      <w:r w:rsidRPr="006C07B6">
        <w:t>Provide prototype and software model development and test schedules, including intermediate milestones and funding requirements during phases A and B</w:t>
      </w:r>
      <w:r>
        <w:t xml:space="preserve">.  </w:t>
      </w:r>
      <w:r w:rsidRPr="006C07B6">
        <w:t>Describe expected status and accomplishments for each prototype or software model at SRR, MDR/SDR</w:t>
      </w:r>
      <w:r>
        <w:t>,</w:t>
      </w:r>
      <w:r w:rsidRPr="006C07B6">
        <w:t xml:space="preserve"> and PDR.] </w:t>
      </w:r>
    </w:p>
    <w:p w14:paraId="2C266E71" w14:textId="77777777" w:rsidR="00494796" w:rsidRPr="006C07B6" w:rsidRDefault="00494796" w:rsidP="00494796">
      <w:pPr>
        <w:pStyle w:val="BodyText"/>
      </w:pPr>
      <w:r w:rsidRPr="006C07B6">
        <w:rPr>
          <w:color w:val="000000"/>
          <w:szCs w:val="20"/>
        </w:rPr>
        <w:t>Focus during Phase A should be on component and subassembly prototypes built to approximately the correct size, mass</w:t>
      </w:r>
      <w:r>
        <w:rPr>
          <w:color w:val="000000"/>
          <w:szCs w:val="20"/>
        </w:rPr>
        <w:t>,</w:t>
      </w:r>
      <w:r w:rsidRPr="006C07B6">
        <w:rPr>
          <w:color w:val="000000"/>
          <w:szCs w:val="20"/>
        </w:rPr>
        <w:t xml:space="preserve"> and power, with “flight-like” parts and materials, and tested in a laboratory environment over the extremes of temperature and radiation (if relevant)</w:t>
      </w:r>
      <w:r>
        <w:rPr>
          <w:color w:val="000000"/>
          <w:szCs w:val="20"/>
        </w:rPr>
        <w:t xml:space="preserve">.  </w:t>
      </w:r>
      <w:r w:rsidRPr="006C07B6">
        <w:rPr>
          <w:color w:val="000000"/>
          <w:szCs w:val="20"/>
        </w:rPr>
        <w:t xml:space="preserve">Focus during Phase B should be on testing form, fit, and function prototypes over the extremes of what will be experienced during flight. </w:t>
      </w:r>
    </w:p>
    <w:p w14:paraId="5967ADE1" w14:textId="1F751892" w:rsidR="00494796" w:rsidRPr="006C07B6" w:rsidRDefault="00494796" w:rsidP="00494796">
      <w:pPr>
        <w:pStyle w:val="BodyText"/>
      </w:pPr>
      <w:r w:rsidRPr="006C07B6">
        <w:t>Identify key performance parameters, associated modeling methodologies</w:t>
      </w:r>
      <w:r>
        <w:t>,</w:t>
      </w:r>
      <w:r w:rsidRPr="006C07B6">
        <w:t xml:space="preserve"> and methods for tracking KPPs throughout </w:t>
      </w:r>
      <w:r>
        <w:t>F</w:t>
      </w:r>
      <w:r w:rsidRPr="006C07B6">
        <w:t>ormulation</w:t>
      </w:r>
      <w:r>
        <w:t xml:space="preserve">.  In addition, identify any planned </w:t>
      </w:r>
      <w:r w:rsidRPr="00651C2C">
        <w:t xml:space="preserve">investments, divestments, acquisition strategies, procurements, agreements, and changes to </w:t>
      </w:r>
      <w:r>
        <w:t xml:space="preserve">capability </w:t>
      </w:r>
      <w:r w:rsidRPr="00651C2C">
        <w:t xml:space="preserve">portfolio capability components in accordance with requirements and strategic </w:t>
      </w:r>
      <w:r w:rsidRPr="00A33E84">
        <w:t xml:space="preserve">guidance included in NPR 8600.1, NASA Capability Portfolio Management Requirements.  (See </w:t>
      </w:r>
      <w:r w:rsidR="004F3071" w:rsidRPr="00A33E84">
        <w:t xml:space="preserve">NPR 7120.5F </w:t>
      </w:r>
      <w:r w:rsidRPr="00A33E84">
        <w:t>Appendix A for definitions of capability portfolio and capability component.)</w:t>
      </w:r>
    </w:p>
    <w:p w14:paraId="79867FDB" w14:textId="77777777" w:rsidR="00494796" w:rsidRPr="006C07B6" w:rsidRDefault="00494796" w:rsidP="00494796">
      <w:pPr>
        <w:pStyle w:val="AppendixHead-1"/>
      </w:pPr>
      <w:r>
        <w:t>10</w:t>
      </w:r>
      <w:r w:rsidRPr="006C07B6">
        <w:t>.</w:t>
      </w:r>
      <w:r>
        <w:t xml:space="preserve">0  </w:t>
      </w:r>
      <w:r w:rsidRPr="006C07B6">
        <w:t>Heritage Assessment and Validation</w:t>
      </w:r>
    </w:p>
    <w:p w14:paraId="37E3DCB6" w14:textId="77777777" w:rsidR="00494796" w:rsidRPr="006C07B6" w:rsidRDefault="00494796" w:rsidP="00494796">
      <w:pPr>
        <w:pStyle w:val="BodyText"/>
      </w:pPr>
      <w:r w:rsidRPr="006C07B6">
        <w:t>Identify the major heritage hardware and software assumptions and associated risks and the activities and reviews planned to validate those assumptions during Formulation</w:t>
      </w:r>
      <w:r>
        <w:t xml:space="preserve">.  </w:t>
      </w:r>
      <w:r w:rsidRPr="006C07B6">
        <w:t xml:space="preserve">Identify </w:t>
      </w:r>
      <w:r w:rsidRPr="006C07B6">
        <w:lastRenderedPageBreak/>
        <w:t>schedule and funding requirements for those activities</w:t>
      </w:r>
      <w:r>
        <w:t>.  See</w:t>
      </w:r>
      <w:r w:rsidRPr="006B1CEA">
        <w:t xml:space="preserve"> </w:t>
      </w:r>
      <w:r w:rsidRPr="006B1CEA">
        <w:rPr>
          <w:color w:val="000000"/>
        </w:rPr>
        <w:t>SP-20205003605, Technology Readiness Assessment Best Practices Guide</w:t>
      </w:r>
      <w:r>
        <w:rPr>
          <w:color w:val="000000"/>
        </w:rPr>
        <w:t>.</w:t>
      </w:r>
    </w:p>
    <w:p w14:paraId="3B96F82D" w14:textId="77777777" w:rsidR="00494796" w:rsidRPr="006C07B6" w:rsidRDefault="00494796" w:rsidP="00494796">
      <w:pPr>
        <w:pStyle w:val="AppendixHead-1"/>
      </w:pPr>
      <w:r w:rsidRPr="006C07B6">
        <w:t>1</w:t>
      </w:r>
      <w:r>
        <w:t>1</w:t>
      </w:r>
      <w:r w:rsidRPr="006C07B6">
        <w:t>.</w:t>
      </w:r>
      <w:r>
        <w:t xml:space="preserve">0  </w:t>
      </w:r>
      <w:r w:rsidRPr="006C07B6">
        <w:t>Acquisition Strategy and Long-lead Procurements</w:t>
      </w:r>
    </w:p>
    <w:p w14:paraId="29BBA9D2" w14:textId="77777777" w:rsidR="00494796" w:rsidRDefault="00494796" w:rsidP="00494796">
      <w:pPr>
        <w:pStyle w:val="BodyText"/>
      </w:pPr>
      <w:r w:rsidRPr="006C07B6">
        <w:rPr>
          <w:bCs/>
          <w:iCs/>
        </w:rPr>
        <w:t>Identify acquisition and partnership plans during Formulation</w:t>
      </w:r>
      <w:r>
        <w:rPr>
          <w:bCs/>
          <w:iCs/>
        </w:rPr>
        <w:t xml:space="preserve">.  </w:t>
      </w:r>
      <w:r w:rsidRPr="009C7BF7">
        <w:t xml:space="preserve">Document the </w:t>
      </w:r>
      <w:r>
        <w:t>project’s or single-project program’s</w:t>
      </w:r>
      <w:r w:rsidRPr="009C7BF7">
        <w:t xml:space="preserve"> proposed milestones for in-</w:t>
      </w:r>
      <w:proofErr w:type="gramStart"/>
      <w:r w:rsidRPr="009C7BF7">
        <w:t>house work</w:t>
      </w:r>
      <w:proofErr w:type="gramEnd"/>
      <w:r w:rsidRPr="009C7BF7">
        <w:t xml:space="preserve"> and procurements, including completing any C</w:t>
      </w:r>
      <w:r w:rsidRPr="009C7BF7">
        <w:rPr>
          <w:bCs/>
          <w:iCs/>
        </w:rPr>
        <w:t>ontract Statements of Work (SOW) and Requests for Proposal (RFP) during the Formulation phase</w:t>
      </w:r>
      <w:r>
        <w:rPr>
          <w:bCs/>
          <w:iCs/>
        </w:rPr>
        <w:t xml:space="preserve">.  </w:t>
      </w:r>
      <w:r w:rsidRPr="006C07B6">
        <w:rPr>
          <w:bCs/>
          <w:iCs/>
        </w:rPr>
        <w:t xml:space="preserve">Identify long-lead procurements to be initiated and provide associated </w:t>
      </w:r>
      <w:r w:rsidRPr="00A7305D">
        <w:rPr>
          <w:bCs/>
          <w:iCs/>
        </w:rPr>
        <w:t>rationale</w:t>
      </w:r>
      <w:r>
        <w:rPr>
          <w:bCs/>
          <w:iCs/>
        </w:rPr>
        <w:t xml:space="preserve">.  </w:t>
      </w:r>
      <w:r w:rsidRPr="00DB64BE">
        <w:rPr>
          <w:bCs/>
          <w:iCs/>
        </w:rPr>
        <w:t xml:space="preserve">Identify procurements of material and services necessary for </w:t>
      </w:r>
      <w:r>
        <w:rPr>
          <w:bCs/>
          <w:iCs/>
        </w:rPr>
        <w:t>life-cycle</w:t>
      </w:r>
      <w:r w:rsidRPr="00DB64BE">
        <w:rPr>
          <w:bCs/>
          <w:iCs/>
        </w:rPr>
        <w:t xml:space="preserve"> sustainment</w:t>
      </w:r>
      <w:r>
        <w:rPr>
          <w:bCs/>
          <w:iCs/>
        </w:rPr>
        <w:t xml:space="preserve">.  </w:t>
      </w:r>
      <w:r w:rsidRPr="006F1532">
        <w:rPr>
          <w:bCs/>
          <w:iCs/>
        </w:rPr>
        <w:t>Iden</w:t>
      </w:r>
      <w:r w:rsidRPr="00A7305D">
        <w:rPr>
          <w:bCs/>
          <w:iCs/>
        </w:rPr>
        <w:t>tify antic</w:t>
      </w:r>
      <w:r w:rsidRPr="006C07B6">
        <w:rPr>
          <w:bCs/>
          <w:iCs/>
        </w:rPr>
        <w:t>ipated partnerships (other government agencies</w:t>
      </w:r>
      <w:r>
        <w:rPr>
          <w:bCs/>
          <w:iCs/>
        </w:rPr>
        <w:t xml:space="preserve"> and</w:t>
      </w:r>
      <w:r w:rsidRPr="006C07B6">
        <w:rPr>
          <w:bCs/>
          <w:iCs/>
        </w:rPr>
        <w:t xml:space="preserve"> U.S. and </w:t>
      </w:r>
      <w:r>
        <w:rPr>
          <w:bCs/>
          <w:iCs/>
        </w:rPr>
        <w:t>international</w:t>
      </w:r>
      <w:r w:rsidRPr="006C07B6">
        <w:rPr>
          <w:bCs/>
          <w:iCs/>
        </w:rPr>
        <w:t xml:space="preserve"> partners), if any, including roles and contributed items and plans for</w:t>
      </w:r>
      <w:r w:rsidRPr="006C07B6">
        <w:rPr>
          <w:color w:val="000000"/>
        </w:rPr>
        <w:t xml:space="preserve"> getting commitments for contributions and finalizing open </w:t>
      </w:r>
      <w:r>
        <w:rPr>
          <w:color w:val="000000"/>
        </w:rPr>
        <w:t>i</w:t>
      </w:r>
      <w:r w:rsidRPr="006C07B6">
        <w:rPr>
          <w:color w:val="000000"/>
        </w:rPr>
        <w:t>nter</w:t>
      </w:r>
      <w:r>
        <w:rPr>
          <w:color w:val="000000"/>
        </w:rPr>
        <w:t>-</w:t>
      </w:r>
      <w:r w:rsidRPr="006C07B6">
        <w:rPr>
          <w:color w:val="000000"/>
        </w:rPr>
        <w:t>agency agreements, domestic partnerships, and foreign contributions</w:t>
      </w:r>
      <w:r>
        <w:rPr>
          <w:bCs/>
          <w:iCs/>
        </w:rPr>
        <w:t xml:space="preserve">.  </w:t>
      </w:r>
      <w:r w:rsidRPr="006C07B6">
        <w:t xml:space="preserve">Point to the preliminary or final Acquisition </w:t>
      </w:r>
      <w:r>
        <w:t>Strategy</w:t>
      </w:r>
      <w:r w:rsidRPr="006C07B6">
        <w:t xml:space="preserve"> for details</w:t>
      </w:r>
      <w:r>
        <w:t>,</w:t>
      </w:r>
      <w:r w:rsidRPr="006C07B6">
        <w:t xml:space="preserve"> as applicable.</w:t>
      </w:r>
    </w:p>
    <w:p w14:paraId="1F6E9E1B" w14:textId="77777777" w:rsidR="00494796" w:rsidRPr="006C07B6" w:rsidRDefault="00494796" w:rsidP="00494796">
      <w:pPr>
        <w:pStyle w:val="BodyText"/>
        <w:rPr>
          <w:bCs/>
          <w:iCs/>
        </w:rPr>
      </w:pPr>
      <w:r w:rsidRPr="006C07B6">
        <w:rPr>
          <w:bCs/>
          <w:iCs/>
        </w:rPr>
        <w:t xml:space="preserve">Identify major acquisition risks, including long-lead procurement risks and partnership risks. </w:t>
      </w:r>
    </w:p>
    <w:p w14:paraId="71B429DA" w14:textId="77777777" w:rsidR="00494796" w:rsidRPr="006C07B6" w:rsidRDefault="00494796" w:rsidP="00494796">
      <w:pPr>
        <w:pStyle w:val="BodyText"/>
        <w:rPr>
          <w:bCs/>
          <w:iCs/>
        </w:rPr>
      </w:pPr>
      <w:r w:rsidRPr="006C07B6">
        <w:rPr>
          <w:bCs/>
          <w:iCs/>
        </w:rPr>
        <w:t>Identify funding requirements for procurement activities, long-lead procurements, and partnerships.</w:t>
      </w:r>
    </w:p>
    <w:p w14:paraId="27B68B4E" w14:textId="77777777" w:rsidR="00494796" w:rsidRPr="006C07B6" w:rsidRDefault="00494796" w:rsidP="00494796">
      <w:pPr>
        <w:pStyle w:val="AppendixHead-1"/>
      </w:pPr>
      <w:r w:rsidRPr="006C07B6">
        <w:t>1</w:t>
      </w:r>
      <w:r>
        <w:t>2</w:t>
      </w:r>
      <w:r w:rsidRPr="006C07B6">
        <w:t>.</w:t>
      </w:r>
      <w:r>
        <w:t xml:space="preserve">0  </w:t>
      </w:r>
      <w:r w:rsidRPr="006C07B6">
        <w:t xml:space="preserve">Formulation Phase Reviews </w:t>
      </w:r>
    </w:p>
    <w:p w14:paraId="210AF399" w14:textId="77777777" w:rsidR="00494796" w:rsidRPr="006C07B6" w:rsidRDefault="00494796" w:rsidP="00494796">
      <w:pPr>
        <w:pStyle w:val="BodyText"/>
      </w:pPr>
      <w:r w:rsidRPr="006C07B6">
        <w:t xml:space="preserve">Identify and provide schedules for the </w:t>
      </w:r>
      <w:r>
        <w:t>project or single-project program</w:t>
      </w:r>
      <w:r w:rsidRPr="006C07B6">
        <w:t xml:space="preserve"> life</w:t>
      </w:r>
      <w:r>
        <w:t>-</w:t>
      </w:r>
      <w:r w:rsidRPr="006C07B6">
        <w:t>cycle reviews (SRR, SDR/MDR) and the system and subsystem-level reviews to be held during Formulation</w:t>
      </w:r>
      <w:r>
        <w:t xml:space="preserve">.  </w:t>
      </w:r>
      <w:r w:rsidRPr="006C07B6">
        <w:t>Include inheritance reviews, prototype design reviews, technology readiness reviews, fault protection reviews, etc.</w:t>
      </w:r>
      <w:r>
        <w:t>,</w:t>
      </w:r>
      <w:r w:rsidRPr="006C07B6">
        <w:t xml:space="preserve"> necessary to reduce risk and enable more accurate cost and schedule range estimates </w:t>
      </w:r>
      <w:r>
        <w:t>or high and low values for cost and schedule with the corresponding JCL values</w:t>
      </w:r>
      <w:r w:rsidRPr="00BD7594">
        <w:t xml:space="preserve"> </w:t>
      </w:r>
      <w:r w:rsidRPr="006C07B6">
        <w:t>at KDP B and more accurate cost and schedule estimates at KDP C.</w:t>
      </w:r>
    </w:p>
    <w:p w14:paraId="3C2FFA44" w14:textId="77777777" w:rsidR="00494796" w:rsidRPr="006C07B6" w:rsidRDefault="00494796" w:rsidP="00494796">
      <w:pPr>
        <w:pStyle w:val="AppendixHead-1"/>
      </w:pPr>
      <w:r w:rsidRPr="006C07B6">
        <w:t>1</w:t>
      </w:r>
      <w:r>
        <w:t>3</w:t>
      </w:r>
      <w:r w:rsidRPr="006C07B6">
        <w:t>.</w:t>
      </w:r>
      <w:r>
        <w:t xml:space="preserve">0  </w:t>
      </w:r>
      <w:r w:rsidRPr="006C07B6">
        <w:t xml:space="preserve">Formulation Phase Cost and Schedule Estimates </w:t>
      </w:r>
    </w:p>
    <w:p w14:paraId="17A0D9B3" w14:textId="77777777" w:rsidR="00494796" w:rsidRPr="006C07B6" w:rsidRDefault="00494796" w:rsidP="00494796">
      <w:pPr>
        <w:pStyle w:val="BodyText"/>
      </w:pPr>
      <w:r w:rsidRPr="006C07B6">
        <w:t xml:space="preserve">Document the </w:t>
      </w:r>
      <w:r>
        <w:t>project’s or single-project program’s</w:t>
      </w:r>
      <w:r w:rsidRPr="006C07B6">
        <w:t xml:space="preserve"> Formulation Phase schedule and phased funding requirements, including cost and schedule margins, aligned with the </w:t>
      </w:r>
      <w:r>
        <w:t>project or single-project program</w:t>
      </w:r>
      <w:r w:rsidRPr="006C07B6">
        <w:t xml:space="preserve"> </w:t>
      </w:r>
      <w:r>
        <w:t>Work Breakdown Structure (</w:t>
      </w:r>
      <w:r w:rsidRPr="006C07B6">
        <w:t>WBS</w:t>
      </w:r>
      <w:r>
        <w:t xml:space="preserve">).  </w:t>
      </w:r>
      <w:r w:rsidRPr="006C07B6">
        <w:t>Identify the critical path.</w:t>
      </w:r>
      <w:r>
        <w:t xml:space="preserve"> </w:t>
      </w:r>
    </w:p>
    <w:p w14:paraId="10CC5716" w14:textId="77777777" w:rsidR="00494796" w:rsidRPr="006C07B6" w:rsidRDefault="00494796" w:rsidP="00494796">
      <w:pPr>
        <w:pStyle w:val="BodyText"/>
      </w:pPr>
      <w:r w:rsidRPr="006C07B6">
        <w:t>Ensure that all funding requirements in this Agreement are included and clearly identifiable</w:t>
      </w:r>
      <w:r>
        <w:t xml:space="preserve">.  </w:t>
      </w:r>
      <w:r w:rsidRPr="006C07B6">
        <w:t xml:space="preserve">Summarize funding requirements both in dollars and estimated percent of total costs </w:t>
      </w:r>
      <w:r>
        <w:t xml:space="preserve">phases </w:t>
      </w:r>
      <w:r w:rsidRPr="006C07B6">
        <w:t>A–D.</w:t>
      </w:r>
      <w:r>
        <w:t xml:space="preserve"> </w:t>
      </w:r>
    </w:p>
    <w:p w14:paraId="0A359D2B" w14:textId="77777777" w:rsidR="00494796" w:rsidRPr="006C07B6" w:rsidRDefault="00494796" w:rsidP="00494796">
      <w:pPr>
        <w:pStyle w:val="BodyText"/>
        <w:rPr>
          <w:bCs/>
          <w:iCs/>
        </w:rPr>
      </w:pPr>
      <w:r w:rsidRPr="006C07B6">
        <w:t>Ensure that the schedules for all technology development, engineering prototyping, procurement and risk mitigation activities</w:t>
      </w:r>
      <w:r>
        <w:t>,</w:t>
      </w:r>
      <w:r w:rsidRPr="006C07B6">
        <w:t xml:space="preserve"> and milestones identified in this Agreement are included and clearly identifiable</w:t>
      </w:r>
      <w:r>
        <w:t xml:space="preserve">.  </w:t>
      </w:r>
      <w:r w:rsidRPr="006C07B6">
        <w:rPr>
          <w:bCs/>
          <w:iCs/>
        </w:rPr>
        <w:t>Provide schedule details to the appropriate level to justify Formulation funding requirements (typically subsystem level).</w:t>
      </w:r>
    </w:p>
    <w:p w14:paraId="45DB3A9C" w14:textId="6A3C5907" w:rsidR="00494796" w:rsidRDefault="00494796" w:rsidP="00494796">
      <w:pPr>
        <w:pStyle w:val="BodyText"/>
      </w:pPr>
      <w:r w:rsidRPr="006C07B6">
        <w:t xml:space="preserve">Include any additional milestones required in </w:t>
      </w:r>
      <w:r w:rsidRPr="00852BC2">
        <w:t>product maturities as documented in Appendix I</w:t>
      </w:r>
      <w:r w:rsidRPr="00852BC2">
        <w:rPr>
          <w:rFonts w:eastAsia="Calibri"/>
        </w:rPr>
        <w:t xml:space="preserve"> </w:t>
      </w:r>
      <w:r w:rsidRPr="006C07B6">
        <w:t xml:space="preserve">in </w:t>
      </w:r>
      <w:r w:rsidRPr="00A44824">
        <w:rPr>
          <w:bCs/>
          <w:iCs/>
        </w:rPr>
        <w:t>NPR</w:t>
      </w:r>
      <w:r>
        <w:rPr>
          <w:bCs/>
          <w:iCs/>
        </w:rPr>
        <w:t xml:space="preserve"> 7120.</w:t>
      </w:r>
      <w:r w:rsidRPr="00A33E84">
        <w:rPr>
          <w:bCs/>
          <w:iCs/>
        </w:rPr>
        <w:t>5</w:t>
      </w:r>
      <w:r w:rsidR="004F3071" w:rsidRPr="00A33E84">
        <w:rPr>
          <w:bCs/>
          <w:iCs/>
        </w:rPr>
        <w:t>F</w:t>
      </w:r>
      <w:r w:rsidRPr="00A33E84">
        <w:rPr>
          <w:bCs/>
          <w:iCs/>
        </w:rPr>
        <w:t xml:space="preserve">, </w:t>
      </w:r>
      <w:r w:rsidRPr="00A33E84">
        <w:t xml:space="preserve">including the development of </w:t>
      </w:r>
      <w:proofErr w:type="gramStart"/>
      <w:r w:rsidRPr="00A33E84">
        <w:t>life-cycle</w:t>
      </w:r>
      <w:proofErr w:type="gramEnd"/>
      <w:r w:rsidRPr="00A33E84">
        <w:t xml:space="preserve"> or initial capability cost and schedule ranges or high and </w:t>
      </w:r>
      <w:r>
        <w:t>low values for cost and schedule with the corresponding JCL values</w:t>
      </w:r>
      <w:r w:rsidRPr="00BD7594">
        <w:t xml:space="preserve"> </w:t>
      </w:r>
      <w:r w:rsidRPr="00A44824">
        <w:t>due at KDP B and the JCL at KDP</w:t>
      </w:r>
      <w:r>
        <w:t xml:space="preserve"> </w:t>
      </w:r>
      <w:r w:rsidRPr="00A44824">
        <w:t>C</w:t>
      </w:r>
      <w:r>
        <w:t>,</w:t>
      </w:r>
      <w:r w:rsidRPr="00A44824">
        <w:t xml:space="preserve"> if required.</w:t>
      </w:r>
    </w:p>
    <w:p w14:paraId="06645129" w14:textId="77777777" w:rsidR="00494796" w:rsidRPr="00A44824" w:rsidRDefault="00494796" w:rsidP="00494796">
      <w:pPr>
        <w:pStyle w:val="BodyText"/>
      </w:pPr>
      <w:r>
        <w:lastRenderedPageBreak/>
        <w:t>Identify the schedule for developing the project’s or single-project program’s EVM capabilities, if EVM is required.</w:t>
      </w:r>
    </w:p>
    <w:p w14:paraId="518A473E" w14:textId="77777777" w:rsidR="00494796" w:rsidRPr="006C07B6" w:rsidRDefault="00494796" w:rsidP="00494796">
      <w:pPr>
        <w:pStyle w:val="AppendixHead-1"/>
      </w:pPr>
      <w:r w:rsidRPr="006C07B6">
        <w:t>1</w:t>
      </w:r>
      <w:r>
        <w:t>4</w:t>
      </w:r>
      <w:r w:rsidRPr="006C07B6">
        <w:t>.</w:t>
      </w:r>
      <w:r>
        <w:t>0  Leading Indicators</w:t>
      </w:r>
      <w:r w:rsidRPr="006C07B6">
        <w:t xml:space="preserve"> </w:t>
      </w:r>
    </w:p>
    <w:p w14:paraId="40DBFBF3" w14:textId="77777777" w:rsidR="00494796" w:rsidRDefault="00494796" w:rsidP="00494796">
      <w:r>
        <w:t>Document the project’s or single-project program’s programmatic and technical leading indicators for the Formulation Phase.</w:t>
      </w:r>
    </w:p>
    <w:p w14:paraId="525D7EBB" w14:textId="77777777" w:rsidR="00494796" w:rsidRDefault="00494796" w:rsidP="00494796"/>
    <w:p w14:paraId="67D3A386" w14:textId="77777777" w:rsidR="00494796" w:rsidRDefault="00494796" w:rsidP="00494796">
      <w:r>
        <w:t>Project or single-project programs develop and maintain the status of a set of programmatic and technical leading indicators to ensure proper progress and management of the project or single-project program are achieved during Formulation.  Status and trends of leading indicators should be presented at LCRs and KDPs.  These leading indicators include:</w:t>
      </w:r>
    </w:p>
    <w:p w14:paraId="3D35327B"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Requirement Trends (</w:t>
      </w:r>
      <w:r>
        <w:rPr>
          <w:rFonts w:ascii="Times New Roman" w:hAnsi="Times New Roman"/>
          <w:sz w:val="24"/>
          <w:szCs w:val="24"/>
        </w:rPr>
        <w:t>percent</w:t>
      </w:r>
      <w:r w:rsidRPr="00B57154">
        <w:rPr>
          <w:rFonts w:ascii="Times New Roman" w:hAnsi="Times New Roman"/>
          <w:sz w:val="24"/>
          <w:szCs w:val="24"/>
        </w:rPr>
        <w:t xml:space="preserve"> growth, TBD</w:t>
      </w:r>
      <w:r>
        <w:rPr>
          <w:rFonts w:ascii="Times New Roman" w:hAnsi="Times New Roman"/>
          <w:sz w:val="24"/>
          <w:szCs w:val="24"/>
        </w:rPr>
        <w:t>/TBR (to be resolved)</w:t>
      </w:r>
      <w:r w:rsidRPr="00B57154">
        <w:rPr>
          <w:rFonts w:ascii="Times New Roman" w:hAnsi="Times New Roman"/>
          <w:sz w:val="24"/>
          <w:szCs w:val="24"/>
        </w:rPr>
        <w:t xml:space="preserve"> closures, number of requirement changes)</w:t>
      </w:r>
      <w:r>
        <w:rPr>
          <w:rFonts w:ascii="Times New Roman" w:hAnsi="Times New Roman"/>
          <w:sz w:val="24"/>
          <w:szCs w:val="24"/>
        </w:rPr>
        <w:t>.</w:t>
      </w:r>
    </w:p>
    <w:p w14:paraId="3CDE7A9E"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Interface Trends (</w:t>
      </w:r>
      <w:r>
        <w:rPr>
          <w:rFonts w:ascii="Times New Roman" w:hAnsi="Times New Roman"/>
          <w:sz w:val="24"/>
          <w:szCs w:val="24"/>
        </w:rPr>
        <w:t>percent</w:t>
      </w:r>
      <w:r w:rsidRPr="00B57154">
        <w:rPr>
          <w:rFonts w:ascii="Times New Roman" w:hAnsi="Times New Roman"/>
          <w:sz w:val="24"/>
          <w:szCs w:val="24"/>
        </w:rPr>
        <w:t xml:space="preserve"> </w:t>
      </w:r>
      <w:r>
        <w:rPr>
          <w:rFonts w:ascii="Times New Roman" w:hAnsi="Times New Roman"/>
          <w:sz w:val="24"/>
          <w:szCs w:val="24"/>
        </w:rPr>
        <w:t>I</w:t>
      </w:r>
      <w:r w:rsidRPr="00B57154">
        <w:rPr>
          <w:rFonts w:ascii="Times New Roman" w:hAnsi="Times New Roman"/>
          <w:sz w:val="24"/>
          <w:szCs w:val="24"/>
        </w:rPr>
        <w:t xml:space="preserve">nterface </w:t>
      </w:r>
      <w:r>
        <w:rPr>
          <w:rFonts w:ascii="Times New Roman" w:hAnsi="Times New Roman"/>
          <w:sz w:val="24"/>
          <w:szCs w:val="24"/>
        </w:rPr>
        <w:t>Control D</w:t>
      </w:r>
      <w:r w:rsidRPr="00B57154">
        <w:rPr>
          <w:rFonts w:ascii="Times New Roman" w:hAnsi="Times New Roman"/>
          <w:sz w:val="24"/>
          <w:szCs w:val="24"/>
        </w:rPr>
        <w:t xml:space="preserve">ocument </w:t>
      </w:r>
      <w:r>
        <w:rPr>
          <w:rFonts w:ascii="Times New Roman" w:hAnsi="Times New Roman"/>
          <w:sz w:val="24"/>
          <w:szCs w:val="24"/>
        </w:rPr>
        <w:t xml:space="preserve">(ICD) </w:t>
      </w:r>
      <w:r w:rsidRPr="00B57154">
        <w:rPr>
          <w:rFonts w:ascii="Times New Roman" w:hAnsi="Times New Roman"/>
          <w:sz w:val="24"/>
          <w:szCs w:val="24"/>
        </w:rPr>
        <w:t>approvals, TBD</w:t>
      </w:r>
      <w:r>
        <w:rPr>
          <w:rFonts w:ascii="Times New Roman" w:hAnsi="Times New Roman"/>
          <w:sz w:val="24"/>
          <w:szCs w:val="24"/>
        </w:rPr>
        <w:t>/TBR</w:t>
      </w:r>
      <w:r w:rsidRPr="00B57154">
        <w:rPr>
          <w:rFonts w:ascii="Times New Roman" w:hAnsi="Times New Roman"/>
          <w:sz w:val="24"/>
          <w:szCs w:val="24"/>
        </w:rPr>
        <w:t xml:space="preserve"> burn down, </w:t>
      </w:r>
      <w:r>
        <w:rPr>
          <w:rFonts w:ascii="Times New Roman" w:hAnsi="Times New Roman"/>
          <w:sz w:val="24"/>
          <w:szCs w:val="24"/>
        </w:rPr>
        <w:t>number of</w:t>
      </w:r>
      <w:r w:rsidRPr="00B57154">
        <w:rPr>
          <w:rFonts w:ascii="Times New Roman" w:hAnsi="Times New Roman"/>
          <w:sz w:val="24"/>
          <w:szCs w:val="24"/>
        </w:rPr>
        <w:t xml:space="preserve"> interface requirement changes)</w:t>
      </w:r>
      <w:r>
        <w:rPr>
          <w:rFonts w:ascii="Times New Roman" w:hAnsi="Times New Roman"/>
          <w:sz w:val="24"/>
          <w:szCs w:val="24"/>
        </w:rPr>
        <w:t>.</w:t>
      </w:r>
    </w:p>
    <w:p w14:paraId="3E12C263"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Review Trends (</w:t>
      </w:r>
      <w:r>
        <w:rPr>
          <w:rFonts w:ascii="Times New Roman" w:hAnsi="Times New Roman"/>
          <w:sz w:val="24"/>
          <w:szCs w:val="24"/>
        </w:rPr>
        <w:t>Review Item Discrepancy (RID)/Request for Action (RFA)/</w:t>
      </w:r>
      <w:r w:rsidRPr="00B57154">
        <w:rPr>
          <w:rFonts w:ascii="Times New Roman" w:hAnsi="Times New Roman"/>
          <w:sz w:val="24"/>
          <w:szCs w:val="24"/>
        </w:rPr>
        <w:t>Action Item burn down per review)</w:t>
      </w:r>
      <w:r>
        <w:rPr>
          <w:rFonts w:ascii="Times New Roman" w:hAnsi="Times New Roman"/>
          <w:sz w:val="24"/>
          <w:szCs w:val="24"/>
        </w:rPr>
        <w:t>.</w:t>
      </w:r>
    </w:p>
    <w:p w14:paraId="70B81246"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 xml:space="preserve">Formulation Cost Trends (Plan </w:t>
      </w:r>
      <w:r>
        <w:rPr>
          <w:rFonts w:ascii="Times New Roman" w:hAnsi="Times New Roman"/>
          <w:sz w:val="24"/>
          <w:szCs w:val="24"/>
        </w:rPr>
        <w:t xml:space="preserve">vs. </w:t>
      </w:r>
      <w:r w:rsidRPr="00B57154">
        <w:rPr>
          <w:rFonts w:ascii="Times New Roman" w:hAnsi="Times New Roman"/>
          <w:sz w:val="24"/>
          <w:szCs w:val="24"/>
        </w:rPr>
        <w:t>actual, UFE)</w:t>
      </w:r>
      <w:r>
        <w:rPr>
          <w:rFonts w:ascii="Times New Roman" w:hAnsi="Times New Roman"/>
          <w:sz w:val="24"/>
          <w:szCs w:val="24"/>
        </w:rPr>
        <w:t>.</w:t>
      </w:r>
    </w:p>
    <w:p w14:paraId="60A1FE1D"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Schedule Trends (</w:t>
      </w:r>
      <w:r>
        <w:rPr>
          <w:rFonts w:ascii="Times New Roman" w:hAnsi="Times New Roman"/>
          <w:sz w:val="24"/>
          <w:szCs w:val="24"/>
        </w:rPr>
        <w:t xml:space="preserve">critical path </w:t>
      </w:r>
      <w:r w:rsidRPr="00B57154">
        <w:rPr>
          <w:rFonts w:ascii="Times New Roman" w:hAnsi="Times New Roman"/>
          <w:sz w:val="24"/>
          <w:szCs w:val="24"/>
        </w:rPr>
        <w:t>slack/float, critical milestone dates)</w:t>
      </w:r>
      <w:r>
        <w:rPr>
          <w:rFonts w:ascii="Times New Roman" w:hAnsi="Times New Roman"/>
          <w:sz w:val="24"/>
          <w:szCs w:val="24"/>
        </w:rPr>
        <w:t>.</w:t>
      </w:r>
    </w:p>
    <w:p w14:paraId="419E93F3"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Staffing Trends</w:t>
      </w:r>
      <w:r w:rsidRPr="00921B90">
        <w:rPr>
          <w:rFonts w:ascii="Times New Roman" w:hAnsi="Times New Roman"/>
          <w:sz w:val="24"/>
          <w:szCs w:val="24"/>
        </w:rPr>
        <w:t xml:space="preserve"> </w:t>
      </w:r>
      <w:r>
        <w:rPr>
          <w:rFonts w:ascii="Times New Roman" w:hAnsi="Times New Roman"/>
          <w:sz w:val="24"/>
          <w:szCs w:val="24"/>
        </w:rPr>
        <w:t>(Full-Time Employee (FTE)/Work Year Equivalent (WYE) (plan vs. actual)).</w:t>
      </w:r>
      <w:r w:rsidRPr="00B57154">
        <w:rPr>
          <w:rFonts w:ascii="Times New Roman" w:hAnsi="Times New Roman"/>
          <w:sz w:val="24"/>
          <w:szCs w:val="24"/>
        </w:rPr>
        <w:t xml:space="preserve"> </w:t>
      </w:r>
    </w:p>
    <w:p w14:paraId="7B9E9CF4"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Technical Performance Measures (Mass margin, power margin)</w:t>
      </w:r>
      <w:r>
        <w:rPr>
          <w:rFonts w:ascii="Times New Roman" w:hAnsi="Times New Roman"/>
          <w:sz w:val="24"/>
          <w:szCs w:val="24"/>
        </w:rPr>
        <w:t>.</w:t>
      </w:r>
    </w:p>
    <w:p w14:paraId="0EF82804" w14:textId="77777777" w:rsidR="00494796" w:rsidRDefault="00494796" w:rsidP="00494796">
      <w:pPr>
        <w:pStyle w:val="ListParagraph"/>
        <w:numPr>
          <w:ilvl w:val="0"/>
          <w:numId w:val="1"/>
        </w:numPr>
        <w:tabs>
          <w:tab w:val="left" w:pos="360"/>
        </w:tabs>
        <w:spacing w:after="0"/>
        <w:ind w:left="0" w:firstLine="0"/>
      </w:pPr>
      <w:r w:rsidRPr="00B57154">
        <w:rPr>
          <w:rFonts w:ascii="Times New Roman" w:hAnsi="Times New Roman"/>
          <w:sz w:val="24"/>
          <w:szCs w:val="24"/>
        </w:rPr>
        <w:t xml:space="preserve">Additional </w:t>
      </w:r>
      <w:r>
        <w:rPr>
          <w:rFonts w:ascii="Times New Roman" w:hAnsi="Times New Roman"/>
          <w:sz w:val="24"/>
          <w:szCs w:val="24"/>
        </w:rPr>
        <w:t>project or single-project program</w:t>
      </w:r>
      <w:r w:rsidRPr="00B57154">
        <w:rPr>
          <w:rFonts w:ascii="Times New Roman" w:hAnsi="Times New Roman"/>
          <w:sz w:val="24"/>
          <w:szCs w:val="24"/>
        </w:rPr>
        <w:t>-specific indicators</w:t>
      </w:r>
      <w:r>
        <w:rPr>
          <w:rFonts w:ascii="Times New Roman" w:hAnsi="Times New Roman"/>
          <w:sz w:val="24"/>
          <w:szCs w:val="24"/>
        </w:rPr>
        <w:t>,</w:t>
      </w:r>
      <w:r w:rsidRPr="00B57154">
        <w:rPr>
          <w:rFonts w:ascii="Times New Roman" w:hAnsi="Times New Roman"/>
          <w:sz w:val="24"/>
          <w:szCs w:val="24"/>
        </w:rPr>
        <w:t xml:space="preserve"> as needed</w:t>
      </w:r>
      <w:r>
        <w:rPr>
          <w:rFonts w:ascii="Times New Roman" w:hAnsi="Times New Roman"/>
          <w:sz w:val="24"/>
          <w:szCs w:val="24"/>
        </w:rPr>
        <w:t>.</w:t>
      </w:r>
    </w:p>
    <w:p w14:paraId="6123E02B" w14:textId="77777777" w:rsidR="00494796" w:rsidRDefault="00494796" w:rsidP="00494796"/>
    <w:p w14:paraId="385BACBC" w14:textId="77777777" w:rsidR="00494796" w:rsidRDefault="00494796" w:rsidP="00494796">
      <w:r>
        <w:t>These indicators are further explained in the NASA Space Flight Program and Project Management Handbook,</w:t>
      </w:r>
      <w:r w:rsidRPr="009D3358">
        <w:t xml:space="preserve"> </w:t>
      </w:r>
      <w:r>
        <w:t>NASA/SP-2014-3705; the NASA Project Planning and Control Handbook,</w:t>
      </w:r>
      <w:r w:rsidRPr="009D3358">
        <w:t xml:space="preserve"> </w:t>
      </w:r>
      <w:r>
        <w:t>NASA/SP-2016-3424; and</w:t>
      </w:r>
      <w:r w:rsidRPr="00D84560">
        <w:t xml:space="preserve"> the NASA Common Leading Indicator</w:t>
      </w:r>
      <w:r>
        <w:t>s Detailed Reference</w:t>
      </w:r>
      <w:r w:rsidRPr="00D84560">
        <w:t xml:space="preserve"> Guide</w:t>
      </w:r>
      <w:r>
        <w:t xml:space="preserve"> at </w:t>
      </w:r>
      <w:hyperlink r:id="rId7" w:history="1">
        <w:r w:rsidRPr="00E10309">
          <w:rPr>
            <w:rStyle w:val="Hyperlink"/>
          </w:rPr>
          <w:t>https://nodis3.gsfc.nasa.gov/OCE_rep/OCE_list.cfm</w:t>
        </w:r>
      </w:hyperlink>
      <w:r>
        <w:t>.</w:t>
      </w:r>
    </w:p>
    <w:p w14:paraId="2FFE7D57" w14:textId="77777777" w:rsidR="00494796" w:rsidRDefault="00494796" w:rsidP="00494796"/>
    <w:p w14:paraId="511B52AA" w14:textId="77777777" w:rsidR="00494796" w:rsidRPr="00205147" w:rsidRDefault="00494796" w:rsidP="00494796">
      <w:pPr>
        <w:pStyle w:val="AppendixHead-1"/>
      </w:pPr>
      <w:r w:rsidRPr="006C07B6">
        <w:t>1</w:t>
      </w:r>
      <w:r>
        <w:t>5</w:t>
      </w:r>
      <w:r w:rsidRPr="006C07B6">
        <w:t>.</w:t>
      </w:r>
      <w:r>
        <w:t xml:space="preserve">0  </w:t>
      </w:r>
      <w:r w:rsidRPr="00205147">
        <w:t>A</w:t>
      </w:r>
      <w:r>
        <w:t>ppendices</w:t>
      </w:r>
    </w:p>
    <w:p w14:paraId="203F185B" w14:textId="77777777" w:rsidR="00494796" w:rsidRPr="00D83D24" w:rsidRDefault="00494796" w:rsidP="00494796">
      <w:pPr>
        <w:pStyle w:val="AppendixHead-1"/>
        <w:rPr>
          <w:color w:val="000000"/>
        </w:rPr>
      </w:pPr>
      <w:r w:rsidRPr="00D83D24">
        <w:rPr>
          <w:color w:val="000000"/>
        </w:rPr>
        <w:t>Appendix A</w:t>
      </w:r>
      <w:r>
        <w:rPr>
          <w:color w:val="000000"/>
        </w:rPr>
        <w:t xml:space="preserve">.   </w:t>
      </w:r>
      <w:r w:rsidRPr="00D83D24">
        <w:rPr>
          <w:color w:val="000000"/>
        </w:rPr>
        <w:t>Acronyms</w:t>
      </w:r>
    </w:p>
    <w:p w14:paraId="2F96114F" w14:textId="77777777" w:rsidR="00494796" w:rsidRDefault="00494796" w:rsidP="00494796">
      <w:pPr>
        <w:pStyle w:val="AppendixHead-1"/>
        <w:rPr>
          <w:color w:val="000000"/>
        </w:rPr>
      </w:pPr>
      <w:r w:rsidRPr="00D83D24">
        <w:rPr>
          <w:color w:val="000000"/>
        </w:rPr>
        <w:t>Appendix B</w:t>
      </w:r>
      <w:r>
        <w:rPr>
          <w:color w:val="000000"/>
        </w:rPr>
        <w:t xml:space="preserve">.  </w:t>
      </w:r>
      <w:r w:rsidRPr="00D83D24">
        <w:rPr>
          <w:color w:val="000000"/>
        </w:rPr>
        <w:t>Definitions</w:t>
      </w:r>
    </w:p>
    <w:p w14:paraId="2B22CAA8" w14:textId="567D820B" w:rsidR="00494796" w:rsidRPr="00A33E84" w:rsidRDefault="00494796" w:rsidP="00494796">
      <w:pPr>
        <w:pStyle w:val="AppendixHead-1"/>
      </w:pPr>
      <w:r>
        <w:t>Appendix C.  C</w:t>
      </w:r>
      <w:r w:rsidRPr="003727DF">
        <w:t xml:space="preserve">ompliance Matrix for </w:t>
      </w:r>
      <w:r w:rsidRPr="00A33E84">
        <w:t>NPR</w:t>
      </w:r>
      <w:r w:rsidR="004F3071" w:rsidRPr="00A33E84">
        <w:t xml:space="preserve"> 7120.5F</w:t>
      </w:r>
    </w:p>
    <w:p w14:paraId="5B87F655" w14:textId="77777777" w:rsidR="009D61A8" w:rsidRDefault="007F2FA0"/>
    <w:sectPr w:rsidR="009D6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5B335" w14:textId="77777777" w:rsidR="007F2FA0" w:rsidRDefault="007F2FA0" w:rsidP="00E85A01">
      <w:r>
        <w:separator/>
      </w:r>
    </w:p>
  </w:endnote>
  <w:endnote w:type="continuationSeparator" w:id="0">
    <w:p w14:paraId="4E8B772E" w14:textId="77777777" w:rsidR="007F2FA0" w:rsidRDefault="007F2FA0" w:rsidP="00E85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00003A87" w:usb1="00000000" w:usb2="00000000" w:usb3="00000000" w:csb0="000000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CD390" w14:textId="77777777" w:rsidR="007F2FA0" w:rsidRDefault="007F2FA0" w:rsidP="00E85A01">
      <w:r>
        <w:separator/>
      </w:r>
    </w:p>
  </w:footnote>
  <w:footnote w:type="continuationSeparator" w:id="0">
    <w:p w14:paraId="280E7B86" w14:textId="77777777" w:rsidR="007F2FA0" w:rsidRDefault="007F2FA0" w:rsidP="00E85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84167"/>
    <w:multiLevelType w:val="hybridMultilevel"/>
    <w:tmpl w:val="77C6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96"/>
    <w:rsid w:val="000349DB"/>
    <w:rsid w:val="000F2386"/>
    <w:rsid w:val="00494796"/>
    <w:rsid w:val="004F3071"/>
    <w:rsid w:val="007B7E19"/>
    <w:rsid w:val="007E45E8"/>
    <w:rsid w:val="007F2FA0"/>
    <w:rsid w:val="009B7902"/>
    <w:rsid w:val="009D2E3E"/>
    <w:rsid w:val="00A33E84"/>
    <w:rsid w:val="00BF012D"/>
    <w:rsid w:val="00E85A01"/>
    <w:rsid w:val="00EA6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18801"/>
  <w15:chartTrackingRefBased/>
  <w15:docId w15:val="{486E8B6D-1FE5-49C6-91C4-1519547F3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47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rsid w:val="00494796"/>
    <w:pPr>
      <w:spacing w:after="24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94796"/>
    <w:rPr>
      <w:rFonts w:ascii="Times New Roman" w:eastAsia="Times New Roman" w:hAnsi="Times New Roman" w:cs="Times New Roman"/>
      <w:sz w:val="24"/>
      <w:szCs w:val="24"/>
    </w:rPr>
  </w:style>
  <w:style w:type="character" w:styleId="Hyperlink">
    <w:name w:val="Hyperlink"/>
    <w:basedOn w:val="DefaultParagraphFont"/>
    <w:uiPriority w:val="99"/>
    <w:rsid w:val="00494796"/>
    <w:rPr>
      <w:color w:val="0000FF"/>
      <w:u w:val="single"/>
    </w:rPr>
  </w:style>
  <w:style w:type="paragraph" w:styleId="Caption">
    <w:name w:val="caption"/>
    <w:aliases w:val="Figure Caption"/>
    <w:next w:val="Normal"/>
    <w:link w:val="CaptionChar"/>
    <w:uiPriority w:val="99"/>
    <w:qFormat/>
    <w:rsid w:val="00494796"/>
    <w:pPr>
      <w:spacing w:after="240" w:line="240" w:lineRule="auto"/>
      <w:jc w:val="center"/>
    </w:pPr>
    <w:rPr>
      <w:rFonts w:ascii="Times New Roman" w:eastAsia="Times New Roman" w:hAnsi="Times New Roman" w:cs="Times New Roman"/>
      <w:b/>
      <w:sz w:val="24"/>
      <w:szCs w:val="27"/>
    </w:rPr>
  </w:style>
  <w:style w:type="paragraph" w:customStyle="1" w:styleId="Heading2-Other">
    <w:name w:val="Heading 2 - Other"/>
    <w:basedOn w:val="Heading1-Other"/>
    <w:rsid w:val="00494796"/>
    <w:pPr>
      <w:spacing w:before="160" w:after="80"/>
      <w:ind w:left="576" w:hanging="576"/>
      <w:jc w:val="left"/>
      <w:outlineLvl w:val="1"/>
    </w:pPr>
    <w:rPr>
      <w:rFonts w:cs="Arial"/>
      <w:bCs/>
      <w:sz w:val="24"/>
    </w:rPr>
  </w:style>
  <w:style w:type="paragraph" w:customStyle="1" w:styleId="Heading1-Other">
    <w:name w:val="Heading 1 - Other"/>
    <w:next w:val="Heading2-Other"/>
    <w:link w:val="Heading1-OtherChar"/>
    <w:qFormat/>
    <w:rsid w:val="00494796"/>
    <w:pPr>
      <w:keepNext/>
      <w:keepLines/>
      <w:spacing w:after="240" w:line="240" w:lineRule="auto"/>
      <w:jc w:val="center"/>
      <w:outlineLvl w:val="0"/>
    </w:pPr>
    <w:rPr>
      <w:rFonts w:ascii="Arial" w:eastAsia="Times New Roman" w:hAnsi="Arial" w:cs="Times New Roman"/>
      <w:b/>
      <w:sz w:val="32"/>
      <w:szCs w:val="24"/>
    </w:rPr>
  </w:style>
  <w:style w:type="character" w:customStyle="1" w:styleId="Heading1-OtherChar">
    <w:name w:val="Heading 1 - Other Char"/>
    <w:basedOn w:val="DefaultParagraphFont"/>
    <w:link w:val="Heading1-Other"/>
    <w:rsid w:val="00494796"/>
    <w:rPr>
      <w:rFonts w:ascii="Arial" w:eastAsia="Times New Roman" w:hAnsi="Arial" w:cs="Times New Roman"/>
      <w:b/>
      <w:sz w:val="32"/>
      <w:szCs w:val="24"/>
    </w:rPr>
  </w:style>
  <w:style w:type="paragraph" w:customStyle="1" w:styleId="AppendixHead-1">
    <w:name w:val="Appendix Head-1"/>
    <w:basedOn w:val="BodyText"/>
    <w:next w:val="BodyText"/>
    <w:link w:val="AppendixHead-1CharChar"/>
    <w:rsid w:val="00494796"/>
    <w:pPr>
      <w:keepNext/>
      <w:tabs>
        <w:tab w:val="left" w:pos="567"/>
      </w:tabs>
      <w:spacing w:after="120"/>
    </w:pPr>
    <w:rPr>
      <w:rFonts w:ascii="Times New Roman Bold" w:hAnsi="Times New Roman Bold"/>
      <w:b/>
      <w:sz w:val="28"/>
      <w:szCs w:val="28"/>
    </w:rPr>
  </w:style>
  <w:style w:type="character" w:customStyle="1" w:styleId="AppendixHead-1CharChar">
    <w:name w:val="Appendix Head-1 Char Char"/>
    <w:basedOn w:val="BodyTextChar"/>
    <w:link w:val="AppendixHead-1"/>
    <w:rsid w:val="00494796"/>
    <w:rPr>
      <w:rFonts w:ascii="Times New Roman Bold" w:eastAsia="Times New Roman" w:hAnsi="Times New Roman Bold" w:cs="Times New Roman"/>
      <w:b/>
      <w:sz w:val="28"/>
      <w:szCs w:val="28"/>
    </w:rPr>
  </w:style>
  <w:style w:type="paragraph" w:styleId="ListParagraph">
    <w:name w:val="List Paragraph"/>
    <w:basedOn w:val="Normal"/>
    <w:uiPriority w:val="34"/>
    <w:qFormat/>
    <w:rsid w:val="00494796"/>
    <w:pPr>
      <w:spacing w:after="200" w:line="276" w:lineRule="auto"/>
      <w:ind w:left="720"/>
    </w:pPr>
    <w:rPr>
      <w:rFonts w:ascii="Calibri" w:eastAsia="Calibri" w:hAnsi="Calibri"/>
      <w:sz w:val="22"/>
      <w:szCs w:val="22"/>
    </w:rPr>
  </w:style>
  <w:style w:type="character" w:customStyle="1" w:styleId="CaptionChar">
    <w:name w:val="Caption Char"/>
    <w:aliases w:val="Figure Caption Char"/>
    <w:basedOn w:val="DefaultParagraphFont"/>
    <w:link w:val="Caption"/>
    <w:uiPriority w:val="99"/>
    <w:rsid w:val="00494796"/>
    <w:rPr>
      <w:rFonts w:ascii="Times New Roman" w:eastAsia="Times New Roman" w:hAnsi="Times New Roman" w:cs="Times New Roman"/>
      <w:b/>
      <w:sz w:val="24"/>
      <w:szCs w:val="27"/>
    </w:rPr>
  </w:style>
  <w:style w:type="paragraph" w:styleId="Header">
    <w:name w:val="header"/>
    <w:basedOn w:val="Normal"/>
    <w:link w:val="HeaderChar"/>
    <w:uiPriority w:val="99"/>
    <w:unhideWhenUsed/>
    <w:rsid w:val="00E85A01"/>
    <w:pPr>
      <w:tabs>
        <w:tab w:val="center" w:pos="4680"/>
        <w:tab w:val="right" w:pos="9360"/>
      </w:tabs>
    </w:pPr>
  </w:style>
  <w:style w:type="character" w:customStyle="1" w:styleId="HeaderChar">
    <w:name w:val="Header Char"/>
    <w:basedOn w:val="DefaultParagraphFont"/>
    <w:link w:val="Header"/>
    <w:uiPriority w:val="99"/>
    <w:rsid w:val="00E85A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5A01"/>
    <w:pPr>
      <w:tabs>
        <w:tab w:val="center" w:pos="4680"/>
        <w:tab w:val="right" w:pos="9360"/>
      </w:tabs>
    </w:pPr>
  </w:style>
  <w:style w:type="character" w:customStyle="1" w:styleId="FooterChar">
    <w:name w:val="Footer Char"/>
    <w:basedOn w:val="DefaultParagraphFont"/>
    <w:link w:val="Footer"/>
    <w:uiPriority w:val="99"/>
    <w:rsid w:val="00E85A0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5A01"/>
    <w:rPr>
      <w:sz w:val="16"/>
      <w:szCs w:val="16"/>
    </w:rPr>
  </w:style>
  <w:style w:type="paragraph" w:styleId="CommentText">
    <w:name w:val="annotation text"/>
    <w:basedOn w:val="Normal"/>
    <w:link w:val="CommentTextChar"/>
    <w:uiPriority w:val="99"/>
    <w:semiHidden/>
    <w:unhideWhenUsed/>
    <w:rsid w:val="00E85A01"/>
    <w:rPr>
      <w:sz w:val="20"/>
      <w:szCs w:val="20"/>
    </w:rPr>
  </w:style>
  <w:style w:type="character" w:customStyle="1" w:styleId="CommentTextChar">
    <w:name w:val="Comment Text Char"/>
    <w:basedOn w:val="DefaultParagraphFont"/>
    <w:link w:val="CommentText"/>
    <w:uiPriority w:val="99"/>
    <w:semiHidden/>
    <w:rsid w:val="00E85A0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5A01"/>
    <w:rPr>
      <w:b/>
      <w:bCs/>
    </w:rPr>
  </w:style>
  <w:style w:type="character" w:customStyle="1" w:styleId="CommentSubjectChar">
    <w:name w:val="Comment Subject Char"/>
    <w:basedOn w:val="CommentTextChar"/>
    <w:link w:val="CommentSubject"/>
    <w:uiPriority w:val="99"/>
    <w:semiHidden/>
    <w:rsid w:val="00E85A0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dis3.gsfc.nasa.gov/OCE_rep/OCE_lis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Symons</dc:creator>
  <cp:keywords/>
  <dc:description/>
  <cp:lastModifiedBy>Kathleen Symons</cp:lastModifiedBy>
  <cp:revision>3</cp:revision>
  <dcterms:created xsi:type="dcterms:W3CDTF">2021-08-24T20:46:00Z</dcterms:created>
  <dcterms:modified xsi:type="dcterms:W3CDTF">2021-08-24T20:51:00Z</dcterms:modified>
</cp:coreProperties>
</file>